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0A" w:rsidRDefault="009B2E0A" w:rsidP="00277B61">
      <w:pPr>
        <w:jc w:val="right"/>
        <w:rPr>
          <w:rFonts w:ascii="Arial" w:hAnsi="Arial" w:cs="Arial"/>
          <w:b/>
        </w:rPr>
      </w:pPr>
      <w:r w:rsidRPr="009B2E0A">
        <w:rPr>
          <w:rFonts w:ascii="Arial" w:hAnsi="Arial" w:cs="Arial"/>
          <w:b/>
        </w:rPr>
        <w:t xml:space="preserve">Appendix </w:t>
      </w:r>
      <w:r w:rsidR="00432722">
        <w:rPr>
          <w:rFonts w:ascii="Arial" w:hAnsi="Arial" w:cs="Arial"/>
          <w:b/>
        </w:rPr>
        <w:t>3</w:t>
      </w:r>
    </w:p>
    <w:p w:rsidR="00DA2122" w:rsidRDefault="00E26C49" w:rsidP="00DA2122">
      <w:pPr>
        <w:jc w:val="center"/>
        <w:rPr>
          <w:rFonts w:ascii="Arial" w:hAnsi="Arial" w:cs="Arial"/>
          <w:b/>
          <w:sz w:val="28"/>
          <w:szCs w:val="28"/>
        </w:rPr>
      </w:pPr>
      <w:r w:rsidRPr="0065076A">
        <w:rPr>
          <w:rFonts w:ascii="Arial" w:hAnsi="Arial" w:cs="Arial"/>
          <w:b/>
          <w:sz w:val="28"/>
          <w:szCs w:val="28"/>
        </w:rPr>
        <w:t>Risk Register</w:t>
      </w:r>
    </w:p>
    <w:p w:rsidR="006C50FE" w:rsidRPr="00DA2122" w:rsidRDefault="001A3FAE">
      <w:pPr>
        <w:rPr>
          <w:rFonts w:ascii="Arial" w:hAnsi="Arial" w:cs="Arial"/>
          <w:b/>
          <w:sz w:val="22"/>
          <w:szCs w:val="22"/>
        </w:rPr>
      </w:pPr>
      <w:r>
        <w:rPr>
          <w:rFonts w:ascii="Arial" w:hAnsi="Arial" w:cs="Arial"/>
          <w:b/>
          <w:sz w:val="22"/>
          <w:szCs w:val="22"/>
        </w:rPr>
        <w:t>Council</w:t>
      </w:r>
      <w:r w:rsidR="00DA2122" w:rsidRPr="00DA2122">
        <w:rPr>
          <w:rFonts w:ascii="Arial" w:hAnsi="Arial" w:cs="Arial"/>
          <w:b/>
          <w:sz w:val="22"/>
          <w:szCs w:val="22"/>
        </w:rPr>
        <w:t xml:space="preserve"> </w:t>
      </w:r>
      <w:r>
        <w:rPr>
          <w:rFonts w:ascii="Arial" w:hAnsi="Arial" w:cs="Arial"/>
          <w:b/>
          <w:sz w:val="22"/>
          <w:szCs w:val="22"/>
        </w:rPr>
        <w:t>r</w:t>
      </w:r>
      <w:r w:rsidR="00DA2122" w:rsidRPr="00DA2122">
        <w:rPr>
          <w:rFonts w:ascii="Arial" w:hAnsi="Arial" w:cs="Arial"/>
          <w:b/>
          <w:sz w:val="22"/>
          <w:szCs w:val="22"/>
        </w:rPr>
        <w:t xml:space="preserve">eport </w:t>
      </w:r>
      <w:r w:rsidR="003D291F">
        <w:rPr>
          <w:rFonts w:ascii="Arial" w:hAnsi="Arial" w:cs="Arial"/>
          <w:b/>
          <w:sz w:val="22"/>
          <w:szCs w:val="22"/>
        </w:rPr>
        <w:t>–</w:t>
      </w:r>
      <w:r w:rsidR="00DA2122" w:rsidRPr="00DA2122">
        <w:rPr>
          <w:rFonts w:ascii="Arial" w:hAnsi="Arial" w:cs="Arial"/>
          <w:b/>
          <w:sz w:val="22"/>
          <w:szCs w:val="22"/>
        </w:rPr>
        <w:t xml:space="preserve"> </w:t>
      </w:r>
      <w:r w:rsidR="003D291F">
        <w:rPr>
          <w:rFonts w:ascii="Arial" w:hAnsi="Arial" w:cs="Arial"/>
          <w:b/>
          <w:sz w:val="22"/>
          <w:szCs w:val="22"/>
        </w:rPr>
        <w:t xml:space="preserve">Setting of the Council </w:t>
      </w:r>
      <w:r w:rsidR="00486FB6">
        <w:rPr>
          <w:rFonts w:ascii="Arial" w:hAnsi="Arial" w:cs="Arial"/>
          <w:b/>
          <w:sz w:val="22"/>
          <w:szCs w:val="22"/>
        </w:rPr>
        <w:t>Tax 20</w:t>
      </w:r>
      <w:r w:rsidR="00E20E4E">
        <w:rPr>
          <w:rFonts w:ascii="Arial" w:hAnsi="Arial" w:cs="Arial"/>
          <w:b/>
          <w:sz w:val="22"/>
          <w:szCs w:val="22"/>
        </w:rPr>
        <w:t>20-21</w:t>
      </w:r>
    </w:p>
    <w:p w:rsidR="00DA2122" w:rsidRPr="00DA2122" w:rsidRDefault="00DA2122" w:rsidP="00DA2122">
      <w:pPr>
        <w:jc w:val="right"/>
        <w:rPr>
          <w:rFonts w:ascii="Arial" w:hAnsi="Arial" w:cs="Arial"/>
          <w:b/>
          <w:sz w:val="22"/>
          <w:szCs w:val="22"/>
        </w:rPr>
      </w:pPr>
      <w:r w:rsidRPr="00DA2122">
        <w:rPr>
          <w:rFonts w:ascii="Arial" w:hAnsi="Arial" w:cs="Arial"/>
          <w:b/>
          <w:sz w:val="22"/>
          <w:szCs w:val="22"/>
        </w:rPr>
        <w:t xml:space="preserve">Date – </w:t>
      </w:r>
      <w:r w:rsidR="00277B61">
        <w:rPr>
          <w:rFonts w:ascii="Arial" w:hAnsi="Arial" w:cs="Arial"/>
          <w:b/>
          <w:sz w:val="22"/>
          <w:szCs w:val="22"/>
        </w:rPr>
        <w:t>13 February</w:t>
      </w:r>
      <w:r w:rsidR="00486FB6">
        <w:rPr>
          <w:rFonts w:ascii="Arial" w:hAnsi="Arial" w:cs="Arial"/>
          <w:b/>
          <w:sz w:val="22"/>
          <w:szCs w:val="22"/>
        </w:rPr>
        <w:t xml:space="preserve"> 20</w:t>
      </w:r>
      <w:r w:rsidR="00E20E4E">
        <w:rPr>
          <w:rFonts w:ascii="Arial" w:hAnsi="Arial" w:cs="Arial"/>
          <w:b/>
          <w:sz w:val="22"/>
          <w:szCs w:val="22"/>
        </w:rPr>
        <w:t>20</w:t>
      </w:r>
    </w:p>
    <w:p w:rsidR="00E26C49" w:rsidRPr="00DA2122" w:rsidRDefault="00DA2122">
      <w:pPr>
        <w:rPr>
          <w:rFonts w:ascii="Arial" w:hAnsi="Arial" w:cs="Arial"/>
          <w:b/>
          <w:sz w:val="22"/>
          <w:szCs w:val="22"/>
        </w:rPr>
      </w:pPr>
      <w:r w:rsidRPr="00DA2122">
        <w:rPr>
          <w:rFonts w:ascii="Arial" w:hAnsi="Arial" w:cs="Arial"/>
          <w:b/>
          <w:sz w:val="22"/>
          <w:szCs w:val="22"/>
        </w:rPr>
        <w:t>Author –</w:t>
      </w:r>
      <w:r w:rsidR="003D291F">
        <w:rPr>
          <w:rFonts w:ascii="Arial" w:hAnsi="Arial" w:cs="Arial"/>
          <w:b/>
          <w:sz w:val="22"/>
          <w:szCs w:val="22"/>
        </w:rPr>
        <w:t xml:space="preserve"> Adrian Wood (Finance)</w:t>
      </w:r>
      <w:r w:rsidR="00277B61">
        <w:rPr>
          <w:rFonts w:ascii="Arial" w:hAnsi="Arial" w:cs="Arial"/>
          <w:b/>
          <w:sz w:val="22"/>
          <w:szCs w:val="22"/>
        </w:rPr>
        <w:t xml:space="preserve"> </w:t>
      </w:r>
    </w:p>
    <w:p w:rsidR="00DA2122" w:rsidRPr="00DA2122" w:rsidRDefault="00DA2122">
      <w:pPr>
        <w:rPr>
          <w:rFonts w:ascii="Arial" w:hAnsi="Arial" w:cs="Arial"/>
          <w:b/>
          <w:sz w:val="22"/>
          <w:szCs w:val="22"/>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435"/>
        <w:gridCol w:w="371"/>
        <w:gridCol w:w="396"/>
        <w:gridCol w:w="2830"/>
        <w:gridCol w:w="2572"/>
        <w:gridCol w:w="334"/>
        <w:gridCol w:w="356"/>
        <w:gridCol w:w="2265"/>
        <w:gridCol w:w="1899"/>
        <w:gridCol w:w="435"/>
        <w:gridCol w:w="465"/>
      </w:tblGrid>
      <w:tr w:rsidR="00897A21" w:rsidRPr="00BD4ACB" w:rsidTr="00222EC8">
        <w:trPr>
          <w:trHeight w:val="644"/>
        </w:trPr>
        <w:tc>
          <w:tcPr>
            <w:tcW w:w="0" w:type="auto"/>
            <w:shd w:val="clear" w:color="auto" w:fill="auto"/>
          </w:tcPr>
          <w:p w:rsidR="00222EC8" w:rsidRPr="00BD4ACB" w:rsidRDefault="00222EC8">
            <w:pPr>
              <w:rPr>
                <w:rFonts w:ascii="Arial" w:hAnsi="Arial" w:cs="Arial"/>
                <w:sz w:val="20"/>
                <w:szCs w:val="20"/>
              </w:rPr>
            </w:pPr>
            <w:r w:rsidRPr="00BD4ACB">
              <w:rPr>
                <w:rFonts w:ascii="Arial" w:hAnsi="Arial" w:cs="Arial"/>
                <w:sz w:val="20"/>
                <w:szCs w:val="20"/>
              </w:rPr>
              <w:t>No.</w:t>
            </w:r>
          </w:p>
        </w:tc>
        <w:tc>
          <w:tcPr>
            <w:tcW w:w="0" w:type="auto"/>
            <w:shd w:val="clear" w:color="auto" w:fill="FFFF99"/>
          </w:tcPr>
          <w:p w:rsidR="00222EC8" w:rsidRPr="00BD4ACB" w:rsidRDefault="00222EC8">
            <w:pPr>
              <w:rPr>
                <w:rFonts w:ascii="Arial" w:hAnsi="Arial" w:cs="Arial"/>
                <w:sz w:val="20"/>
                <w:szCs w:val="20"/>
              </w:rPr>
            </w:pPr>
            <w:r w:rsidRPr="00BD4ACB">
              <w:rPr>
                <w:rFonts w:ascii="Arial" w:hAnsi="Arial" w:cs="Arial"/>
                <w:sz w:val="20"/>
                <w:szCs w:val="20"/>
              </w:rPr>
              <w:t xml:space="preserve">Risk Description </w:t>
            </w:r>
          </w:p>
          <w:p w:rsidR="00222EC8" w:rsidRPr="00BD4ACB" w:rsidRDefault="00222EC8">
            <w:pPr>
              <w:rPr>
                <w:rFonts w:ascii="Arial" w:hAnsi="Arial" w:cs="Arial"/>
                <w:sz w:val="20"/>
                <w:szCs w:val="20"/>
              </w:rPr>
            </w:pPr>
            <w:r w:rsidRPr="00BD4ACB">
              <w:rPr>
                <w:rFonts w:ascii="Arial" w:hAnsi="Arial" w:cs="Arial"/>
                <w:sz w:val="20"/>
                <w:szCs w:val="20"/>
              </w:rPr>
              <w:t xml:space="preserve">Link to Corporate </w:t>
            </w:r>
            <w:proofErr w:type="spellStart"/>
            <w:r w:rsidRPr="00BD4ACB">
              <w:rPr>
                <w:rFonts w:ascii="Arial" w:hAnsi="Arial" w:cs="Arial"/>
                <w:sz w:val="20"/>
                <w:szCs w:val="20"/>
              </w:rPr>
              <w:t>Obj</w:t>
            </w:r>
            <w:proofErr w:type="spellEnd"/>
          </w:p>
        </w:tc>
        <w:tc>
          <w:tcPr>
            <w:tcW w:w="0" w:type="auto"/>
            <w:gridSpan w:val="2"/>
            <w:shd w:val="clear" w:color="auto" w:fill="FFFF99"/>
          </w:tcPr>
          <w:p w:rsidR="00222EC8" w:rsidRPr="00BD4ACB" w:rsidRDefault="00222EC8" w:rsidP="00BD5BA1">
            <w:pPr>
              <w:rPr>
                <w:rFonts w:ascii="Arial" w:hAnsi="Arial" w:cs="Arial"/>
                <w:sz w:val="20"/>
                <w:szCs w:val="20"/>
              </w:rPr>
            </w:pPr>
            <w:r w:rsidRPr="00BD4ACB">
              <w:rPr>
                <w:rFonts w:ascii="Arial" w:hAnsi="Arial" w:cs="Arial"/>
                <w:sz w:val="20"/>
                <w:szCs w:val="20"/>
              </w:rPr>
              <w:t>Gross Risk</w:t>
            </w:r>
          </w:p>
        </w:tc>
        <w:tc>
          <w:tcPr>
            <w:tcW w:w="0" w:type="auto"/>
            <w:shd w:val="clear" w:color="auto" w:fill="CCFFFF"/>
          </w:tcPr>
          <w:p w:rsidR="00222EC8" w:rsidRPr="00BD4ACB" w:rsidRDefault="00222EC8">
            <w:pPr>
              <w:rPr>
                <w:rFonts w:ascii="Arial" w:hAnsi="Arial" w:cs="Arial"/>
                <w:sz w:val="20"/>
                <w:szCs w:val="20"/>
              </w:rPr>
            </w:pPr>
            <w:r w:rsidRPr="00BD4ACB">
              <w:rPr>
                <w:rFonts w:ascii="Arial" w:hAnsi="Arial" w:cs="Arial"/>
                <w:sz w:val="20"/>
                <w:szCs w:val="20"/>
              </w:rPr>
              <w:t xml:space="preserve">Cause of Risk </w:t>
            </w:r>
          </w:p>
          <w:p w:rsidR="00222EC8" w:rsidRPr="00BD4ACB" w:rsidRDefault="00222EC8">
            <w:pPr>
              <w:rPr>
                <w:rFonts w:ascii="Arial" w:hAnsi="Arial" w:cs="Arial"/>
                <w:sz w:val="20"/>
                <w:szCs w:val="20"/>
              </w:rPr>
            </w:pPr>
          </w:p>
        </w:tc>
        <w:tc>
          <w:tcPr>
            <w:tcW w:w="0" w:type="auto"/>
            <w:shd w:val="clear" w:color="auto" w:fill="CCFFFF"/>
          </w:tcPr>
          <w:p w:rsidR="00222EC8" w:rsidRPr="00BD4ACB" w:rsidRDefault="00222EC8">
            <w:pPr>
              <w:rPr>
                <w:rFonts w:ascii="Arial" w:hAnsi="Arial" w:cs="Arial"/>
                <w:sz w:val="20"/>
                <w:szCs w:val="20"/>
              </w:rPr>
            </w:pPr>
            <w:r w:rsidRPr="00BD4ACB">
              <w:rPr>
                <w:rFonts w:ascii="Arial" w:hAnsi="Arial" w:cs="Arial"/>
                <w:sz w:val="20"/>
                <w:szCs w:val="20"/>
              </w:rPr>
              <w:t>Mitigation</w:t>
            </w:r>
          </w:p>
        </w:tc>
        <w:tc>
          <w:tcPr>
            <w:tcW w:w="0" w:type="auto"/>
            <w:gridSpan w:val="2"/>
            <w:shd w:val="clear" w:color="auto" w:fill="auto"/>
          </w:tcPr>
          <w:p w:rsidR="00222EC8" w:rsidRPr="00BD4ACB" w:rsidRDefault="00222EC8">
            <w:pPr>
              <w:rPr>
                <w:rFonts w:ascii="Arial" w:hAnsi="Arial" w:cs="Arial"/>
                <w:sz w:val="20"/>
                <w:szCs w:val="20"/>
              </w:rPr>
            </w:pPr>
            <w:r w:rsidRPr="00BD4ACB">
              <w:rPr>
                <w:rFonts w:ascii="Arial" w:hAnsi="Arial" w:cs="Arial"/>
                <w:sz w:val="20"/>
                <w:szCs w:val="20"/>
              </w:rPr>
              <w:t>Net Risk</w:t>
            </w:r>
          </w:p>
        </w:tc>
        <w:tc>
          <w:tcPr>
            <w:tcW w:w="0" w:type="auto"/>
            <w:gridSpan w:val="2"/>
            <w:shd w:val="clear" w:color="auto" w:fill="FF99CC"/>
          </w:tcPr>
          <w:p w:rsidR="00222EC8" w:rsidRPr="00BD4ACB" w:rsidRDefault="00222EC8">
            <w:pPr>
              <w:rPr>
                <w:rFonts w:ascii="Arial" w:hAnsi="Arial" w:cs="Arial"/>
                <w:sz w:val="20"/>
                <w:szCs w:val="20"/>
              </w:rPr>
            </w:pPr>
            <w:r w:rsidRPr="00BD4ACB">
              <w:rPr>
                <w:rFonts w:ascii="Arial" w:hAnsi="Arial" w:cs="Arial"/>
                <w:sz w:val="20"/>
                <w:szCs w:val="20"/>
              </w:rPr>
              <w:t xml:space="preserve">Further Management of Risk: </w:t>
            </w:r>
          </w:p>
          <w:p w:rsidR="00222EC8" w:rsidRPr="00BD4ACB" w:rsidRDefault="00222EC8">
            <w:pPr>
              <w:rPr>
                <w:rFonts w:ascii="Arial" w:hAnsi="Arial" w:cs="Arial"/>
                <w:sz w:val="20"/>
                <w:szCs w:val="20"/>
              </w:rPr>
            </w:pPr>
            <w:r w:rsidRPr="00BD4ACB">
              <w:rPr>
                <w:rFonts w:ascii="Arial" w:hAnsi="Arial" w:cs="Arial"/>
                <w:sz w:val="20"/>
                <w:szCs w:val="20"/>
              </w:rPr>
              <w:t>Transfer/Accept/Reduce/Avoid</w:t>
            </w:r>
          </w:p>
        </w:tc>
        <w:tc>
          <w:tcPr>
            <w:tcW w:w="0" w:type="auto"/>
            <w:gridSpan w:val="2"/>
            <w:shd w:val="clear" w:color="auto" w:fill="FF99CC"/>
          </w:tcPr>
          <w:p w:rsidR="00222EC8" w:rsidRPr="00BD4ACB" w:rsidRDefault="00222EC8">
            <w:pPr>
              <w:rPr>
                <w:rFonts w:ascii="Arial" w:hAnsi="Arial" w:cs="Arial"/>
                <w:sz w:val="20"/>
                <w:szCs w:val="20"/>
              </w:rPr>
            </w:pPr>
            <w:r>
              <w:rPr>
                <w:rFonts w:ascii="Arial" w:hAnsi="Arial" w:cs="Arial"/>
                <w:sz w:val="20"/>
                <w:szCs w:val="20"/>
              </w:rPr>
              <w:t>Current Risk</w:t>
            </w:r>
          </w:p>
        </w:tc>
      </w:tr>
      <w:tr w:rsidR="00222EC8" w:rsidRPr="00BD4ACB" w:rsidTr="003161E2">
        <w:trPr>
          <w:trHeight w:val="644"/>
        </w:trPr>
        <w:tc>
          <w:tcPr>
            <w:tcW w:w="0" w:type="auto"/>
            <w:gridSpan w:val="12"/>
            <w:shd w:val="clear" w:color="auto" w:fill="auto"/>
          </w:tcPr>
          <w:p w:rsidR="00D67FD8" w:rsidRDefault="00222EC8" w:rsidP="00E34C9E">
            <w:pPr>
              <w:rPr>
                <w:rFonts w:ascii="Arial" w:hAnsi="Arial" w:cs="Arial"/>
                <w:sz w:val="20"/>
                <w:szCs w:val="20"/>
              </w:rPr>
            </w:pPr>
            <w:r>
              <w:rPr>
                <w:rFonts w:ascii="Arial" w:hAnsi="Arial" w:cs="Arial"/>
                <w:sz w:val="20"/>
                <w:szCs w:val="20"/>
              </w:rPr>
              <w:t>Risk Score</w:t>
            </w:r>
          </w:p>
          <w:p w:rsidR="00D67FD8" w:rsidRDefault="00222EC8" w:rsidP="00E34C9E">
            <w:pPr>
              <w:rPr>
                <w:rFonts w:ascii="Arial" w:hAnsi="Arial" w:cs="Arial"/>
                <w:sz w:val="20"/>
                <w:szCs w:val="20"/>
              </w:rPr>
            </w:pPr>
            <w:r>
              <w:rPr>
                <w:rFonts w:ascii="Arial" w:hAnsi="Arial" w:cs="Arial"/>
                <w:b/>
                <w:sz w:val="20"/>
                <w:szCs w:val="20"/>
              </w:rPr>
              <w:t xml:space="preserve">Impact Score: </w:t>
            </w:r>
            <w:r>
              <w:rPr>
                <w:rFonts w:ascii="Arial" w:hAnsi="Arial" w:cs="Arial"/>
                <w:sz w:val="20"/>
                <w:szCs w:val="20"/>
              </w:rPr>
              <w:t>1 = Insignificant; 2 = Minor; 3 = Moderate; 4 = Major; 5 = Catastrophic</w:t>
            </w:r>
          </w:p>
          <w:p w:rsidR="00222EC8" w:rsidRDefault="00222EC8" w:rsidP="00E34C9E">
            <w:pPr>
              <w:rPr>
                <w:rFonts w:ascii="Arial" w:hAnsi="Arial" w:cs="Arial"/>
                <w:sz w:val="20"/>
                <w:szCs w:val="20"/>
              </w:rPr>
            </w:pPr>
            <w:r>
              <w:rPr>
                <w:rFonts w:ascii="Arial" w:hAnsi="Arial" w:cs="Arial"/>
                <w:b/>
                <w:sz w:val="20"/>
                <w:szCs w:val="20"/>
              </w:rPr>
              <w:t xml:space="preserve">Probability Score: </w:t>
            </w:r>
            <w:r>
              <w:rPr>
                <w:rFonts w:ascii="Arial" w:hAnsi="Arial" w:cs="Arial"/>
                <w:sz w:val="20"/>
                <w:szCs w:val="20"/>
              </w:rPr>
              <w:t>1 = Rare; 2 = Unlikely; 3 = Possible; 4 = Likely; 5 = Almost Certain</w:t>
            </w:r>
          </w:p>
        </w:tc>
      </w:tr>
      <w:tr w:rsidR="00897A21" w:rsidRPr="00BD4ACB" w:rsidTr="003161E2">
        <w:trPr>
          <w:trHeight w:val="1241"/>
        </w:trPr>
        <w:tc>
          <w:tcPr>
            <w:tcW w:w="0" w:type="auto"/>
            <w:shd w:val="clear" w:color="auto" w:fill="auto"/>
          </w:tcPr>
          <w:p w:rsidR="00222EC8" w:rsidRPr="00BD4ACB" w:rsidRDefault="00222EC8">
            <w:pPr>
              <w:rPr>
                <w:rFonts w:ascii="Arial" w:hAnsi="Arial" w:cs="Arial"/>
                <w:sz w:val="20"/>
                <w:szCs w:val="20"/>
              </w:rPr>
            </w:pPr>
          </w:p>
        </w:tc>
        <w:tc>
          <w:tcPr>
            <w:tcW w:w="0" w:type="auto"/>
            <w:shd w:val="clear" w:color="auto" w:fill="FFFF99"/>
          </w:tcPr>
          <w:p w:rsidR="00222EC8" w:rsidRPr="00BD4ACB" w:rsidRDefault="00222EC8">
            <w:pPr>
              <w:rPr>
                <w:rFonts w:ascii="Arial" w:hAnsi="Arial" w:cs="Arial"/>
                <w:sz w:val="20"/>
                <w:szCs w:val="20"/>
              </w:rPr>
            </w:pPr>
          </w:p>
        </w:tc>
        <w:tc>
          <w:tcPr>
            <w:tcW w:w="0" w:type="auto"/>
            <w:shd w:val="clear" w:color="auto" w:fill="FFFF99"/>
          </w:tcPr>
          <w:p w:rsidR="00222EC8" w:rsidRPr="00BD4ACB" w:rsidRDefault="00222EC8" w:rsidP="00BD5BA1">
            <w:pPr>
              <w:rPr>
                <w:rFonts w:ascii="Arial" w:hAnsi="Arial" w:cs="Arial"/>
                <w:sz w:val="20"/>
                <w:szCs w:val="20"/>
              </w:rPr>
            </w:pPr>
            <w:r w:rsidRPr="00BD4ACB">
              <w:rPr>
                <w:rFonts w:ascii="Arial" w:hAnsi="Arial" w:cs="Arial"/>
                <w:sz w:val="20"/>
                <w:szCs w:val="20"/>
              </w:rPr>
              <w:t>I</w:t>
            </w:r>
          </w:p>
        </w:tc>
        <w:tc>
          <w:tcPr>
            <w:tcW w:w="0" w:type="auto"/>
            <w:shd w:val="clear" w:color="auto" w:fill="FFFF99"/>
          </w:tcPr>
          <w:p w:rsidR="00222EC8" w:rsidRPr="00BD4ACB" w:rsidRDefault="00222EC8" w:rsidP="00BD5BA1">
            <w:pPr>
              <w:rPr>
                <w:rFonts w:ascii="Arial" w:hAnsi="Arial" w:cs="Arial"/>
                <w:sz w:val="20"/>
                <w:szCs w:val="20"/>
              </w:rPr>
            </w:pPr>
            <w:r w:rsidRPr="00BD4ACB">
              <w:rPr>
                <w:rFonts w:ascii="Arial" w:hAnsi="Arial" w:cs="Arial"/>
                <w:sz w:val="20"/>
                <w:szCs w:val="20"/>
              </w:rPr>
              <w:t>P</w:t>
            </w:r>
          </w:p>
        </w:tc>
        <w:tc>
          <w:tcPr>
            <w:tcW w:w="0" w:type="auto"/>
            <w:shd w:val="clear" w:color="auto" w:fill="CCFFFF"/>
          </w:tcPr>
          <w:p w:rsidR="00222EC8" w:rsidRPr="00BD4ACB" w:rsidRDefault="00222EC8">
            <w:pPr>
              <w:rPr>
                <w:rFonts w:ascii="Arial" w:hAnsi="Arial" w:cs="Arial"/>
                <w:sz w:val="20"/>
                <w:szCs w:val="20"/>
              </w:rPr>
            </w:pPr>
          </w:p>
        </w:tc>
        <w:tc>
          <w:tcPr>
            <w:tcW w:w="0" w:type="auto"/>
            <w:shd w:val="clear" w:color="auto" w:fill="CCFFFF"/>
          </w:tcPr>
          <w:p w:rsidR="00222EC8" w:rsidRPr="00BD4ACB" w:rsidRDefault="00222EC8" w:rsidP="00BD5BA1">
            <w:pPr>
              <w:rPr>
                <w:rFonts w:ascii="Arial" w:hAnsi="Arial" w:cs="Arial"/>
                <w:sz w:val="20"/>
                <w:szCs w:val="20"/>
              </w:rPr>
            </w:pPr>
            <w:r w:rsidRPr="00BD4ACB">
              <w:rPr>
                <w:rFonts w:ascii="Arial" w:hAnsi="Arial" w:cs="Arial"/>
                <w:sz w:val="20"/>
                <w:szCs w:val="20"/>
              </w:rPr>
              <w:t>Mitigating Control:</w:t>
            </w:r>
          </w:p>
          <w:p w:rsidR="00222EC8" w:rsidRPr="00BD4ACB" w:rsidRDefault="00222EC8" w:rsidP="00BD5BA1">
            <w:pPr>
              <w:rPr>
                <w:rFonts w:ascii="Arial" w:hAnsi="Arial" w:cs="Arial"/>
                <w:sz w:val="20"/>
                <w:szCs w:val="20"/>
              </w:rPr>
            </w:pPr>
            <w:r w:rsidRPr="00BD4ACB">
              <w:rPr>
                <w:rFonts w:ascii="Arial" w:hAnsi="Arial" w:cs="Arial"/>
                <w:sz w:val="20"/>
                <w:szCs w:val="20"/>
              </w:rPr>
              <w:t>Level of Effectiveness:</w:t>
            </w:r>
          </w:p>
          <w:p w:rsidR="00222EC8" w:rsidRPr="00BD4ACB" w:rsidRDefault="00222EC8" w:rsidP="00BD5BA1">
            <w:pPr>
              <w:rPr>
                <w:rFonts w:ascii="Arial" w:hAnsi="Arial" w:cs="Arial"/>
                <w:sz w:val="20"/>
                <w:szCs w:val="20"/>
              </w:rPr>
            </w:pPr>
            <w:r w:rsidRPr="00BD4ACB">
              <w:rPr>
                <w:rFonts w:ascii="Arial" w:hAnsi="Arial" w:cs="Arial"/>
                <w:sz w:val="20"/>
                <w:szCs w:val="20"/>
              </w:rPr>
              <w:t>(HML)</w:t>
            </w:r>
          </w:p>
          <w:p w:rsidR="00222EC8" w:rsidRPr="00BD4ACB" w:rsidRDefault="00222EC8">
            <w:pPr>
              <w:rPr>
                <w:rFonts w:ascii="Arial" w:hAnsi="Arial" w:cs="Arial"/>
                <w:sz w:val="20"/>
                <w:szCs w:val="20"/>
              </w:rPr>
            </w:pPr>
          </w:p>
        </w:tc>
        <w:tc>
          <w:tcPr>
            <w:tcW w:w="0" w:type="auto"/>
            <w:shd w:val="clear" w:color="auto" w:fill="auto"/>
          </w:tcPr>
          <w:p w:rsidR="00222EC8" w:rsidRPr="00BD4ACB" w:rsidRDefault="00222EC8" w:rsidP="00BD5BA1">
            <w:pPr>
              <w:rPr>
                <w:rFonts w:ascii="Arial" w:hAnsi="Arial" w:cs="Arial"/>
                <w:sz w:val="20"/>
                <w:szCs w:val="20"/>
              </w:rPr>
            </w:pPr>
            <w:r w:rsidRPr="00BD4ACB">
              <w:rPr>
                <w:rFonts w:ascii="Arial" w:hAnsi="Arial" w:cs="Arial"/>
                <w:sz w:val="20"/>
                <w:szCs w:val="20"/>
              </w:rPr>
              <w:t>I</w:t>
            </w:r>
          </w:p>
        </w:tc>
        <w:tc>
          <w:tcPr>
            <w:tcW w:w="0" w:type="auto"/>
            <w:shd w:val="clear" w:color="auto" w:fill="auto"/>
          </w:tcPr>
          <w:p w:rsidR="00222EC8" w:rsidRPr="00BD4ACB" w:rsidRDefault="00222EC8">
            <w:pPr>
              <w:rPr>
                <w:rFonts w:ascii="Arial" w:hAnsi="Arial" w:cs="Arial"/>
                <w:sz w:val="20"/>
                <w:szCs w:val="20"/>
              </w:rPr>
            </w:pPr>
            <w:r w:rsidRPr="00BD4ACB">
              <w:rPr>
                <w:rFonts w:ascii="Arial" w:hAnsi="Arial" w:cs="Arial"/>
                <w:sz w:val="20"/>
                <w:szCs w:val="20"/>
              </w:rPr>
              <w:t>P</w:t>
            </w:r>
          </w:p>
        </w:tc>
        <w:tc>
          <w:tcPr>
            <w:tcW w:w="0" w:type="auto"/>
            <w:shd w:val="clear" w:color="auto" w:fill="FF99CC"/>
          </w:tcPr>
          <w:p w:rsidR="00222EC8" w:rsidRPr="00BD4ACB" w:rsidRDefault="00222EC8">
            <w:pPr>
              <w:rPr>
                <w:rFonts w:ascii="Arial" w:hAnsi="Arial" w:cs="Arial"/>
                <w:sz w:val="20"/>
                <w:szCs w:val="20"/>
              </w:rPr>
            </w:pPr>
            <w:r w:rsidRPr="00BD4ACB">
              <w:rPr>
                <w:rFonts w:ascii="Arial" w:hAnsi="Arial" w:cs="Arial"/>
                <w:sz w:val="20"/>
                <w:szCs w:val="20"/>
              </w:rPr>
              <w:t xml:space="preserve">Action: </w:t>
            </w:r>
          </w:p>
          <w:p w:rsidR="00222EC8" w:rsidRPr="00BD4ACB" w:rsidRDefault="00222EC8">
            <w:pPr>
              <w:rPr>
                <w:rFonts w:ascii="Arial" w:hAnsi="Arial" w:cs="Arial"/>
                <w:sz w:val="20"/>
                <w:szCs w:val="20"/>
              </w:rPr>
            </w:pPr>
            <w:r w:rsidRPr="00BD4ACB">
              <w:rPr>
                <w:rFonts w:ascii="Arial" w:hAnsi="Arial" w:cs="Arial"/>
                <w:sz w:val="20"/>
                <w:szCs w:val="20"/>
              </w:rPr>
              <w:t>Action Owner:</w:t>
            </w:r>
          </w:p>
          <w:p w:rsidR="00222EC8" w:rsidRPr="00BD4ACB" w:rsidRDefault="00222EC8">
            <w:pPr>
              <w:rPr>
                <w:rFonts w:ascii="Arial" w:hAnsi="Arial" w:cs="Arial"/>
                <w:sz w:val="20"/>
                <w:szCs w:val="20"/>
              </w:rPr>
            </w:pPr>
          </w:p>
          <w:p w:rsidR="00222EC8" w:rsidRPr="00BD4ACB" w:rsidRDefault="00222EC8">
            <w:pPr>
              <w:rPr>
                <w:rFonts w:ascii="Arial" w:hAnsi="Arial" w:cs="Arial"/>
                <w:sz w:val="20"/>
                <w:szCs w:val="20"/>
              </w:rPr>
            </w:pPr>
            <w:r w:rsidRPr="00BD4ACB">
              <w:rPr>
                <w:rFonts w:ascii="Arial" w:hAnsi="Arial" w:cs="Arial"/>
                <w:sz w:val="20"/>
                <w:szCs w:val="20"/>
              </w:rPr>
              <w:t>Mitigating Control:</w:t>
            </w:r>
          </w:p>
          <w:p w:rsidR="00222EC8" w:rsidRPr="00BD4ACB" w:rsidRDefault="00222EC8">
            <w:pPr>
              <w:rPr>
                <w:rFonts w:ascii="Arial" w:hAnsi="Arial" w:cs="Arial"/>
                <w:sz w:val="20"/>
                <w:szCs w:val="20"/>
              </w:rPr>
            </w:pPr>
            <w:r w:rsidRPr="00BD4ACB">
              <w:rPr>
                <w:rFonts w:ascii="Arial" w:hAnsi="Arial" w:cs="Arial"/>
                <w:sz w:val="20"/>
                <w:szCs w:val="20"/>
              </w:rPr>
              <w:t>Control Owner:</w:t>
            </w:r>
          </w:p>
        </w:tc>
        <w:tc>
          <w:tcPr>
            <w:tcW w:w="0" w:type="auto"/>
            <w:shd w:val="clear" w:color="auto" w:fill="FF99CC"/>
          </w:tcPr>
          <w:p w:rsidR="00222EC8" w:rsidRPr="00BD4ACB" w:rsidRDefault="00222EC8">
            <w:pPr>
              <w:rPr>
                <w:rFonts w:ascii="Arial" w:hAnsi="Arial" w:cs="Arial"/>
                <w:sz w:val="20"/>
                <w:szCs w:val="20"/>
              </w:rPr>
            </w:pPr>
            <w:r w:rsidRPr="00BD4ACB">
              <w:rPr>
                <w:rFonts w:ascii="Arial" w:hAnsi="Arial" w:cs="Arial"/>
                <w:sz w:val="20"/>
                <w:szCs w:val="20"/>
              </w:rPr>
              <w:t>Outcome required:</w:t>
            </w:r>
          </w:p>
          <w:p w:rsidR="00222EC8" w:rsidRPr="00BD4ACB" w:rsidRDefault="00222EC8">
            <w:pPr>
              <w:rPr>
                <w:rFonts w:ascii="Arial" w:hAnsi="Arial" w:cs="Arial"/>
                <w:sz w:val="20"/>
                <w:szCs w:val="20"/>
              </w:rPr>
            </w:pPr>
            <w:r w:rsidRPr="00BD4ACB">
              <w:rPr>
                <w:rFonts w:ascii="Arial" w:hAnsi="Arial" w:cs="Arial"/>
                <w:sz w:val="20"/>
                <w:szCs w:val="20"/>
              </w:rPr>
              <w:t>Milestone Date:</w:t>
            </w:r>
          </w:p>
        </w:tc>
        <w:tc>
          <w:tcPr>
            <w:tcW w:w="0" w:type="auto"/>
            <w:shd w:val="clear" w:color="auto" w:fill="99CC00"/>
          </w:tcPr>
          <w:p w:rsidR="00222EC8" w:rsidRPr="00BD4ACB" w:rsidRDefault="00222EC8" w:rsidP="00BD5BA1">
            <w:pPr>
              <w:rPr>
                <w:rFonts w:ascii="Arial" w:hAnsi="Arial" w:cs="Arial"/>
                <w:sz w:val="20"/>
                <w:szCs w:val="20"/>
              </w:rPr>
            </w:pPr>
            <w:r>
              <w:rPr>
                <w:rFonts w:ascii="Arial" w:hAnsi="Arial" w:cs="Arial"/>
                <w:sz w:val="20"/>
                <w:szCs w:val="20"/>
              </w:rPr>
              <w:t>I</w:t>
            </w:r>
          </w:p>
        </w:tc>
        <w:tc>
          <w:tcPr>
            <w:tcW w:w="0" w:type="auto"/>
            <w:shd w:val="clear" w:color="auto" w:fill="99CC00"/>
          </w:tcPr>
          <w:p w:rsidR="00222EC8" w:rsidRPr="00BD4ACB" w:rsidRDefault="00222EC8" w:rsidP="00BD5BA1">
            <w:pPr>
              <w:rPr>
                <w:rFonts w:ascii="Arial" w:hAnsi="Arial" w:cs="Arial"/>
                <w:sz w:val="20"/>
                <w:szCs w:val="20"/>
              </w:rPr>
            </w:pPr>
            <w:r>
              <w:rPr>
                <w:rFonts w:ascii="Arial" w:hAnsi="Arial" w:cs="Arial"/>
                <w:sz w:val="20"/>
                <w:szCs w:val="20"/>
              </w:rPr>
              <w:t>P</w:t>
            </w:r>
          </w:p>
        </w:tc>
      </w:tr>
      <w:tr w:rsidR="00897A21" w:rsidRPr="00BD4ACB" w:rsidTr="003161E2">
        <w:trPr>
          <w:trHeight w:val="1241"/>
        </w:trPr>
        <w:tc>
          <w:tcPr>
            <w:tcW w:w="0" w:type="auto"/>
            <w:shd w:val="clear" w:color="auto" w:fill="auto"/>
          </w:tcPr>
          <w:p w:rsidR="00486FB6" w:rsidRPr="00BD4ACB" w:rsidRDefault="00486FB6">
            <w:pPr>
              <w:rPr>
                <w:rFonts w:ascii="Arial" w:hAnsi="Arial" w:cs="Arial"/>
                <w:sz w:val="20"/>
                <w:szCs w:val="20"/>
              </w:rPr>
            </w:pPr>
          </w:p>
        </w:tc>
        <w:tc>
          <w:tcPr>
            <w:tcW w:w="0" w:type="auto"/>
            <w:shd w:val="clear" w:color="auto" w:fill="auto"/>
          </w:tcPr>
          <w:p w:rsidR="00486FB6" w:rsidRPr="00F46562" w:rsidRDefault="00486FB6" w:rsidP="00486FB6">
            <w:pPr>
              <w:rPr>
                <w:rFonts w:ascii="Arial" w:hAnsi="Arial" w:cs="Arial"/>
                <w:b/>
                <w:sz w:val="20"/>
                <w:szCs w:val="20"/>
              </w:rPr>
            </w:pPr>
            <w:r w:rsidRPr="00F46562">
              <w:rPr>
                <w:rFonts w:ascii="Arial" w:hAnsi="Arial" w:cs="Arial"/>
                <w:b/>
                <w:sz w:val="20"/>
                <w:szCs w:val="20"/>
              </w:rPr>
              <w:t>COUNCIL TAX BASE</w:t>
            </w:r>
          </w:p>
          <w:p w:rsidR="00486FB6" w:rsidRPr="00BD4ACB" w:rsidRDefault="00486FB6" w:rsidP="00486FB6">
            <w:pPr>
              <w:rPr>
                <w:rFonts w:ascii="Arial" w:hAnsi="Arial" w:cs="Arial"/>
                <w:sz w:val="20"/>
                <w:szCs w:val="20"/>
              </w:rPr>
            </w:pPr>
            <w:r w:rsidRPr="00F46562">
              <w:rPr>
                <w:rFonts w:ascii="Arial" w:hAnsi="Arial" w:cs="Arial"/>
                <w:sz w:val="20"/>
                <w:szCs w:val="20"/>
              </w:rPr>
              <w:t>A reduced debit (and lower tax base) would mean the City Council having to borrow to meet the Precept demands of the County Council and the Police and Crime Commissioner. Also the City Council would have less Council Tax Income to fund services.</w:t>
            </w:r>
          </w:p>
        </w:tc>
        <w:tc>
          <w:tcPr>
            <w:tcW w:w="0" w:type="auto"/>
            <w:shd w:val="clear" w:color="auto" w:fill="auto"/>
          </w:tcPr>
          <w:p w:rsidR="00486FB6" w:rsidRPr="00BD4ACB" w:rsidRDefault="00486FB6" w:rsidP="00BD5BA1">
            <w:pPr>
              <w:rPr>
                <w:rFonts w:ascii="Arial" w:hAnsi="Arial" w:cs="Arial"/>
                <w:sz w:val="20"/>
                <w:szCs w:val="20"/>
              </w:rPr>
            </w:pPr>
            <w:r w:rsidRPr="00BD4ACB">
              <w:rPr>
                <w:rFonts w:ascii="Arial" w:hAnsi="Arial" w:cs="Arial"/>
                <w:sz w:val="20"/>
                <w:szCs w:val="20"/>
              </w:rPr>
              <w:t>4</w:t>
            </w:r>
          </w:p>
        </w:tc>
        <w:tc>
          <w:tcPr>
            <w:tcW w:w="0" w:type="auto"/>
            <w:shd w:val="clear" w:color="auto" w:fill="auto"/>
          </w:tcPr>
          <w:p w:rsidR="00486FB6" w:rsidRPr="00BD4ACB" w:rsidRDefault="00486FB6" w:rsidP="00BD5BA1">
            <w:pPr>
              <w:rPr>
                <w:rFonts w:ascii="Arial" w:hAnsi="Arial" w:cs="Arial"/>
                <w:sz w:val="20"/>
                <w:szCs w:val="20"/>
              </w:rPr>
            </w:pPr>
            <w:r w:rsidRPr="00BD4ACB">
              <w:rPr>
                <w:rFonts w:ascii="Arial" w:hAnsi="Arial" w:cs="Arial"/>
                <w:sz w:val="20"/>
                <w:szCs w:val="20"/>
              </w:rPr>
              <w:t>3</w:t>
            </w:r>
          </w:p>
        </w:tc>
        <w:tc>
          <w:tcPr>
            <w:tcW w:w="0" w:type="auto"/>
            <w:shd w:val="clear" w:color="auto" w:fill="auto"/>
          </w:tcPr>
          <w:p w:rsidR="00486FB6" w:rsidRPr="00BD4ACB" w:rsidRDefault="00486FB6" w:rsidP="00CF3FED">
            <w:pPr>
              <w:rPr>
                <w:rFonts w:ascii="Arial" w:hAnsi="Arial" w:cs="Arial"/>
                <w:sz w:val="20"/>
                <w:szCs w:val="20"/>
              </w:rPr>
            </w:pPr>
            <w:r w:rsidRPr="00F46562">
              <w:rPr>
                <w:rFonts w:ascii="Arial" w:hAnsi="Arial" w:cs="Arial"/>
                <w:sz w:val="20"/>
                <w:szCs w:val="20"/>
              </w:rPr>
              <w:t>There could be less new builds than estimated in 20</w:t>
            </w:r>
            <w:r w:rsidR="00E20E4E">
              <w:rPr>
                <w:rFonts w:ascii="Arial" w:hAnsi="Arial" w:cs="Arial"/>
                <w:sz w:val="20"/>
                <w:szCs w:val="20"/>
              </w:rPr>
              <w:t>20/21</w:t>
            </w:r>
            <w:r w:rsidRPr="00F46562">
              <w:rPr>
                <w:rFonts w:ascii="Arial" w:hAnsi="Arial" w:cs="Arial"/>
                <w:sz w:val="20"/>
                <w:szCs w:val="20"/>
              </w:rPr>
              <w:t>. In addition there could be increased numbers of exemptions/discount cases.</w:t>
            </w:r>
          </w:p>
        </w:tc>
        <w:tc>
          <w:tcPr>
            <w:tcW w:w="0" w:type="auto"/>
            <w:shd w:val="clear" w:color="auto" w:fill="auto"/>
          </w:tcPr>
          <w:p w:rsidR="00486FB6" w:rsidRPr="00F46562" w:rsidRDefault="00486FB6" w:rsidP="00B23884">
            <w:pPr>
              <w:rPr>
                <w:rFonts w:ascii="Arial" w:hAnsi="Arial" w:cs="Arial"/>
                <w:sz w:val="20"/>
                <w:szCs w:val="20"/>
              </w:rPr>
            </w:pPr>
            <w:r w:rsidRPr="00F46562">
              <w:rPr>
                <w:rFonts w:ascii="Arial" w:hAnsi="Arial" w:cs="Arial"/>
                <w:sz w:val="20"/>
                <w:szCs w:val="20"/>
              </w:rPr>
              <w:t>Assumptions used in numbers of new builds are conservative.</w:t>
            </w:r>
          </w:p>
          <w:p w:rsidR="00486FB6" w:rsidRPr="00F46562" w:rsidRDefault="00486FB6" w:rsidP="00B23884">
            <w:pPr>
              <w:rPr>
                <w:rFonts w:ascii="Arial" w:hAnsi="Arial" w:cs="Arial"/>
                <w:sz w:val="20"/>
                <w:szCs w:val="20"/>
              </w:rPr>
            </w:pPr>
            <w:r w:rsidRPr="00F46562">
              <w:rPr>
                <w:rFonts w:ascii="Arial" w:hAnsi="Arial" w:cs="Arial"/>
                <w:sz w:val="20"/>
                <w:szCs w:val="20"/>
              </w:rPr>
              <w:t xml:space="preserve">The base for </w:t>
            </w:r>
            <w:r w:rsidR="0081197A">
              <w:rPr>
                <w:rFonts w:ascii="Arial" w:hAnsi="Arial" w:cs="Arial"/>
                <w:sz w:val="20"/>
                <w:szCs w:val="20"/>
              </w:rPr>
              <w:t xml:space="preserve">the </w:t>
            </w:r>
            <w:r w:rsidRPr="00F46562">
              <w:rPr>
                <w:rFonts w:ascii="Arial" w:hAnsi="Arial" w:cs="Arial"/>
                <w:sz w:val="20"/>
                <w:szCs w:val="20"/>
              </w:rPr>
              <w:t>number of Exemptions was the</w:t>
            </w:r>
            <w:r w:rsidR="0021054E">
              <w:rPr>
                <w:rFonts w:ascii="Arial" w:hAnsi="Arial" w:cs="Arial"/>
                <w:sz w:val="20"/>
                <w:szCs w:val="20"/>
              </w:rPr>
              <w:t xml:space="preserve"> average of the </w:t>
            </w:r>
            <w:r w:rsidR="0081197A">
              <w:rPr>
                <w:rFonts w:ascii="Arial" w:hAnsi="Arial" w:cs="Arial"/>
                <w:sz w:val="20"/>
                <w:szCs w:val="20"/>
              </w:rPr>
              <w:t>last</w:t>
            </w:r>
            <w:r w:rsidR="0021054E">
              <w:rPr>
                <w:rFonts w:ascii="Arial" w:hAnsi="Arial" w:cs="Arial"/>
                <w:sz w:val="20"/>
                <w:szCs w:val="20"/>
              </w:rPr>
              <w:t xml:space="preserve"> 12 months.</w:t>
            </w:r>
          </w:p>
          <w:p w:rsidR="00486FB6" w:rsidRPr="00F46562" w:rsidRDefault="00486FB6" w:rsidP="00B23884">
            <w:pPr>
              <w:rPr>
                <w:rFonts w:ascii="Arial" w:hAnsi="Arial" w:cs="Arial"/>
                <w:sz w:val="20"/>
                <w:szCs w:val="20"/>
              </w:rPr>
            </w:pPr>
            <w:r>
              <w:rPr>
                <w:rFonts w:ascii="Arial" w:hAnsi="Arial" w:cs="Arial"/>
                <w:sz w:val="20"/>
                <w:szCs w:val="20"/>
              </w:rPr>
              <w:t>The Revenues team in Financial Services</w:t>
            </w:r>
            <w:r w:rsidRPr="00F46562">
              <w:rPr>
                <w:rFonts w:ascii="Arial" w:hAnsi="Arial" w:cs="Arial"/>
                <w:sz w:val="20"/>
                <w:szCs w:val="20"/>
              </w:rPr>
              <w:t xml:space="preserve"> review existing exemption and discount cases to ensure these should still be granted.</w:t>
            </w:r>
          </w:p>
          <w:p w:rsidR="00486FB6" w:rsidRPr="00F46562" w:rsidRDefault="00486FB6" w:rsidP="00B23884">
            <w:pPr>
              <w:rPr>
                <w:rFonts w:ascii="Arial" w:hAnsi="Arial" w:cs="Arial"/>
                <w:sz w:val="20"/>
                <w:szCs w:val="20"/>
              </w:rPr>
            </w:pPr>
            <w:r w:rsidRPr="00F46562">
              <w:rPr>
                <w:rFonts w:ascii="Arial" w:hAnsi="Arial" w:cs="Arial"/>
                <w:sz w:val="20"/>
                <w:szCs w:val="20"/>
              </w:rPr>
              <w:t xml:space="preserve">Assumptions are based on prior years/historical trends and take account of external impacts. </w:t>
            </w:r>
          </w:p>
          <w:p w:rsidR="00486FB6" w:rsidRPr="00F46562" w:rsidRDefault="00486FB6" w:rsidP="00B23884">
            <w:pPr>
              <w:rPr>
                <w:rFonts w:ascii="Arial" w:hAnsi="Arial" w:cs="Arial"/>
                <w:sz w:val="20"/>
                <w:szCs w:val="20"/>
              </w:rPr>
            </w:pPr>
          </w:p>
        </w:tc>
        <w:tc>
          <w:tcPr>
            <w:tcW w:w="0" w:type="auto"/>
            <w:shd w:val="clear" w:color="auto" w:fill="auto"/>
          </w:tcPr>
          <w:p w:rsidR="00486FB6" w:rsidRPr="00BD4ACB" w:rsidRDefault="00486FB6">
            <w:pPr>
              <w:rPr>
                <w:rFonts w:ascii="Arial" w:hAnsi="Arial" w:cs="Arial"/>
                <w:sz w:val="20"/>
                <w:szCs w:val="20"/>
              </w:rPr>
            </w:pPr>
            <w:r w:rsidRPr="00BD4ACB">
              <w:rPr>
                <w:rFonts w:ascii="Arial" w:hAnsi="Arial" w:cs="Arial"/>
                <w:sz w:val="20"/>
                <w:szCs w:val="20"/>
              </w:rPr>
              <w:t>3</w:t>
            </w:r>
          </w:p>
        </w:tc>
        <w:tc>
          <w:tcPr>
            <w:tcW w:w="0" w:type="auto"/>
            <w:shd w:val="clear" w:color="auto" w:fill="auto"/>
          </w:tcPr>
          <w:p w:rsidR="00486FB6" w:rsidRPr="00BD4ACB" w:rsidRDefault="00486FB6">
            <w:pPr>
              <w:rPr>
                <w:rFonts w:ascii="Arial" w:hAnsi="Arial" w:cs="Arial"/>
                <w:sz w:val="20"/>
                <w:szCs w:val="20"/>
              </w:rPr>
            </w:pPr>
            <w:r w:rsidRPr="00BD4ACB">
              <w:rPr>
                <w:rFonts w:ascii="Arial" w:hAnsi="Arial" w:cs="Arial"/>
                <w:sz w:val="20"/>
                <w:szCs w:val="20"/>
              </w:rPr>
              <w:t>2</w:t>
            </w:r>
          </w:p>
        </w:tc>
        <w:tc>
          <w:tcPr>
            <w:tcW w:w="0" w:type="auto"/>
            <w:shd w:val="clear" w:color="auto" w:fill="auto"/>
          </w:tcPr>
          <w:p w:rsidR="00486FB6" w:rsidRPr="00F46562" w:rsidRDefault="00486FB6" w:rsidP="00486FB6">
            <w:pPr>
              <w:rPr>
                <w:rFonts w:ascii="Arial" w:hAnsi="Arial" w:cs="Arial"/>
                <w:sz w:val="20"/>
                <w:szCs w:val="20"/>
              </w:rPr>
            </w:pPr>
            <w:r w:rsidRPr="00F46562">
              <w:rPr>
                <w:rFonts w:ascii="Arial" w:hAnsi="Arial" w:cs="Arial"/>
                <w:sz w:val="20"/>
                <w:szCs w:val="20"/>
              </w:rPr>
              <w:t>Continuing monitoring of external trends (Adrian Wood).</w:t>
            </w:r>
          </w:p>
          <w:p w:rsidR="00486FB6" w:rsidRPr="00F46562" w:rsidRDefault="00486FB6" w:rsidP="00486FB6">
            <w:pPr>
              <w:rPr>
                <w:rFonts w:ascii="Arial" w:hAnsi="Arial" w:cs="Arial"/>
                <w:sz w:val="20"/>
                <w:szCs w:val="20"/>
              </w:rPr>
            </w:pPr>
            <w:r w:rsidRPr="00F46562">
              <w:rPr>
                <w:rFonts w:ascii="Arial" w:hAnsi="Arial" w:cs="Arial"/>
                <w:sz w:val="20"/>
                <w:szCs w:val="20"/>
              </w:rPr>
              <w:t xml:space="preserve">Monthly position on actual tax base is calculated and reported to the Head of </w:t>
            </w:r>
            <w:r>
              <w:rPr>
                <w:rFonts w:ascii="Arial" w:hAnsi="Arial" w:cs="Arial"/>
                <w:sz w:val="20"/>
                <w:szCs w:val="20"/>
              </w:rPr>
              <w:t>Financial</w:t>
            </w:r>
            <w:r w:rsidRPr="00F46562">
              <w:rPr>
                <w:rFonts w:ascii="Arial" w:hAnsi="Arial" w:cs="Arial"/>
                <w:sz w:val="20"/>
                <w:szCs w:val="20"/>
              </w:rPr>
              <w:t xml:space="preserve"> Services.</w:t>
            </w:r>
          </w:p>
          <w:p w:rsidR="00486FB6" w:rsidRPr="00F46562" w:rsidRDefault="00486FB6" w:rsidP="00486FB6">
            <w:pPr>
              <w:rPr>
                <w:rFonts w:ascii="Arial" w:hAnsi="Arial" w:cs="Arial"/>
                <w:sz w:val="20"/>
                <w:szCs w:val="20"/>
              </w:rPr>
            </w:pPr>
            <w:r w:rsidRPr="00F46562">
              <w:rPr>
                <w:rFonts w:ascii="Arial" w:hAnsi="Arial" w:cs="Arial"/>
                <w:sz w:val="20"/>
                <w:szCs w:val="20"/>
              </w:rPr>
              <w:t xml:space="preserve">Significant changes to be reported to </w:t>
            </w:r>
            <w:r>
              <w:rPr>
                <w:rFonts w:ascii="Arial" w:hAnsi="Arial" w:cs="Arial"/>
                <w:sz w:val="20"/>
                <w:szCs w:val="20"/>
              </w:rPr>
              <w:t xml:space="preserve">the Head of Financial Services by </w:t>
            </w:r>
            <w:r w:rsidRPr="00F46562">
              <w:rPr>
                <w:rFonts w:ascii="Arial" w:hAnsi="Arial" w:cs="Arial"/>
                <w:sz w:val="20"/>
                <w:szCs w:val="20"/>
              </w:rPr>
              <w:t>Adrian Wood.</w:t>
            </w:r>
          </w:p>
          <w:p w:rsidR="00486FB6" w:rsidRPr="00BD4ACB" w:rsidRDefault="00486FB6" w:rsidP="00486FB6">
            <w:pPr>
              <w:rPr>
                <w:rFonts w:ascii="Arial" w:hAnsi="Arial" w:cs="Arial"/>
                <w:sz w:val="20"/>
                <w:szCs w:val="20"/>
              </w:rPr>
            </w:pPr>
            <w:r w:rsidRPr="00F46562">
              <w:rPr>
                <w:rFonts w:ascii="Arial" w:hAnsi="Arial" w:cs="Arial"/>
                <w:sz w:val="20"/>
                <w:szCs w:val="20"/>
              </w:rPr>
              <w:t>Mitigating control owner: Nigel Kennedy</w:t>
            </w:r>
          </w:p>
        </w:tc>
        <w:tc>
          <w:tcPr>
            <w:tcW w:w="0" w:type="auto"/>
            <w:shd w:val="clear" w:color="auto" w:fill="auto"/>
          </w:tcPr>
          <w:p w:rsidR="00486FB6" w:rsidRPr="00F46562" w:rsidRDefault="00486FB6" w:rsidP="00486FB6">
            <w:pPr>
              <w:rPr>
                <w:rFonts w:ascii="Arial" w:hAnsi="Arial" w:cs="Arial"/>
                <w:sz w:val="20"/>
                <w:szCs w:val="20"/>
              </w:rPr>
            </w:pPr>
            <w:r w:rsidRPr="00F46562">
              <w:rPr>
                <w:rFonts w:ascii="Arial" w:hAnsi="Arial" w:cs="Arial"/>
                <w:sz w:val="20"/>
                <w:szCs w:val="20"/>
              </w:rPr>
              <w:t>Assumptions remain as accurate as possible to minimise the possibility of shortfall.</w:t>
            </w:r>
          </w:p>
          <w:p w:rsidR="00486FB6" w:rsidRPr="00BD4ACB" w:rsidRDefault="00486FB6" w:rsidP="00486FB6">
            <w:pPr>
              <w:rPr>
                <w:rFonts w:ascii="Arial" w:hAnsi="Arial" w:cs="Arial"/>
                <w:sz w:val="20"/>
                <w:szCs w:val="20"/>
              </w:rPr>
            </w:pPr>
            <w:r w:rsidRPr="00F46562">
              <w:rPr>
                <w:rFonts w:ascii="Arial" w:hAnsi="Arial" w:cs="Arial"/>
                <w:sz w:val="20"/>
                <w:szCs w:val="20"/>
              </w:rPr>
              <w:t>Monthly reviews</w:t>
            </w:r>
            <w:r w:rsidRPr="00BD4ACB">
              <w:rPr>
                <w:rFonts w:ascii="Arial" w:hAnsi="Arial" w:cs="Arial"/>
                <w:sz w:val="20"/>
                <w:szCs w:val="20"/>
              </w:rPr>
              <w:t>.</w:t>
            </w:r>
          </w:p>
        </w:tc>
        <w:tc>
          <w:tcPr>
            <w:tcW w:w="0" w:type="auto"/>
          </w:tcPr>
          <w:p w:rsidR="00486FB6" w:rsidRDefault="00486FB6" w:rsidP="00486FB6">
            <w:pPr>
              <w:rPr>
                <w:rFonts w:ascii="Arial" w:hAnsi="Arial" w:cs="Arial"/>
                <w:sz w:val="20"/>
                <w:szCs w:val="20"/>
              </w:rPr>
            </w:pPr>
            <w:r>
              <w:rPr>
                <w:rFonts w:ascii="Arial" w:hAnsi="Arial" w:cs="Arial"/>
                <w:sz w:val="20"/>
                <w:szCs w:val="20"/>
              </w:rPr>
              <w:t>2</w:t>
            </w:r>
          </w:p>
        </w:tc>
        <w:tc>
          <w:tcPr>
            <w:tcW w:w="0" w:type="auto"/>
          </w:tcPr>
          <w:p w:rsidR="00486FB6" w:rsidRDefault="00486FB6" w:rsidP="00BD5BA1">
            <w:pPr>
              <w:rPr>
                <w:rFonts w:ascii="Arial" w:hAnsi="Arial" w:cs="Arial"/>
                <w:sz w:val="20"/>
                <w:szCs w:val="20"/>
              </w:rPr>
            </w:pPr>
            <w:r>
              <w:rPr>
                <w:rFonts w:ascii="Arial" w:hAnsi="Arial" w:cs="Arial"/>
                <w:sz w:val="20"/>
                <w:szCs w:val="20"/>
              </w:rPr>
              <w:t>2</w:t>
            </w:r>
          </w:p>
        </w:tc>
      </w:tr>
      <w:tr w:rsidR="00897A21" w:rsidRPr="00BD4ACB" w:rsidTr="003161E2">
        <w:trPr>
          <w:trHeight w:val="1241"/>
        </w:trPr>
        <w:tc>
          <w:tcPr>
            <w:tcW w:w="0" w:type="auto"/>
            <w:shd w:val="clear" w:color="auto" w:fill="auto"/>
          </w:tcPr>
          <w:p w:rsidR="00486FB6" w:rsidRPr="00BD4ACB" w:rsidRDefault="00486FB6">
            <w:pPr>
              <w:rPr>
                <w:rFonts w:ascii="Arial" w:hAnsi="Arial" w:cs="Arial"/>
                <w:sz w:val="20"/>
                <w:szCs w:val="20"/>
              </w:rPr>
            </w:pPr>
          </w:p>
        </w:tc>
        <w:tc>
          <w:tcPr>
            <w:tcW w:w="0" w:type="auto"/>
            <w:shd w:val="clear" w:color="auto" w:fill="auto"/>
          </w:tcPr>
          <w:p w:rsidR="00486FB6" w:rsidRPr="00F46562" w:rsidRDefault="00177AB9" w:rsidP="00486FB6">
            <w:pPr>
              <w:rPr>
                <w:rFonts w:ascii="Arial" w:hAnsi="Arial" w:cs="Arial"/>
                <w:b/>
                <w:sz w:val="20"/>
                <w:szCs w:val="20"/>
              </w:rPr>
            </w:pPr>
            <w:r w:rsidRPr="00177AB9">
              <w:rPr>
                <w:rFonts w:ascii="Arial" w:hAnsi="Arial" w:cs="Arial"/>
                <w:b/>
                <w:sz w:val="20"/>
                <w:szCs w:val="20"/>
              </w:rPr>
              <w:t>OXFORD CITY</w:t>
            </w:r>
            <w:r w:rsidR="00486FB6" w:rsidRPr="00BD4ACB">
              <w:rPr>
                <w:rFonts w:ascii="Arial" w:hAnsi="Arial" w:cs="Arial"/>
                <w:sz w:val="20"/>
                <w:szCs w:val="20"/>
              </w:rPr>
              <w:t xml:space="preserve"> </w:t>
            </w:r>
            <w:r w:rsidR="00486FB6" w:rsidRPr="00F46562">
              <w:rPr>
                <w:rFonts w:ascii="Arial" w:hAnsi="Arial" w:cs="Arial"/>
                <w:b/>
                <w:sz w:val="20"/>
                <w:szCs w:val="20"/>
              </w:rPr>
              <w:t xml:space="preserve">COUNCIL TAX  PERCENTAGE INCREASE </w:t>
            </w:r>
          </w:p>
          <w:p w:rsidR="00486FB6" w:rsidRPr="00BD4ACB" w:rsidRDefault="00486FB6" w:rsidP="00E20E4E">
            <w:pPr>
              <w:rPr>
                <w:rFonts w:ascii="Arial" w:hAnsi="Arial" w:cs="Arial"/>
                <w:sz w:val="20"/>
                <w:szCs w:val="20"/>
              </w:rPr>
            </w:pPr>
            <w:r w:rsidRPr="00F46562">
              <w:rPr>
                <w:rFonts w:ascii="Arial" w:hAnsi="Arial" w:cs="Arial"/>
                <w:sz w:val="20"/>
                <w:szCs w:val="20"/>
              </w:rPr>
              <w:t xml:space="preserve">The </w:t>
            </w:r>
            <w:r w:rsidR="00177AB9">
              <w:rPr>
                <w:rFonts w:ascii="Arial" w:hAnsi="Arial" w:cs="Arial"/>
                <w:sz w:val="20"/>
                <w:szCs w:val="20"/>
              </w:rPr>
              <w:t xml:space="preserve">City </w:t>
            </w:r>
            <w:r w:rsidRPr="00F46562">
              <w:rPr>
                <w:rFonts w:ascii="Arial" w:hAnsi="Arial" w:cs="Arial"/>
                <w:sz w:val="20"/>
                <w:szCs w:val="20"/>
              </w:rPr>
              <w:t xml:space="preserve">Council has assumed a </w:t>
            </w:r>
            <w:r w:rsidR="00E20E4E">
              <w:rPr>
                <w:rFonts w:ascii="Arial" w:hAnsi="Arial" w:cs="Arial"/>
                <w:sz w:val="20"/>
                <w:szCs w:val="20"/>
              </w:rPr>
              <w:t>1</w:t>
            </w:r>
            <w:r w:rsidRPr="00F46562">
              <w:rPr>
                <w:rFonts w:ascii="Arial" w:hAnsi="Arial" w:cs="Arial"/>
                <w:sz w:val="20"/>
                <w:szCs w:val="20"/>
              </w:rPr>
              <w:t>.99% increase on 201</w:t>
            </w:r>
            <w:r w:rsidR="00E20E4E">
              <w:rPr>
                <w:rFonts w:ascii="Arial" w:hAnsi="Arial" w:cs="Arial"/>
                <w:sz w:val="20"/>
                <w:szCs w:val="20"/>
              </w:rPr>
              <w:t>9/20</w:t>
            </w:r>
            <w:r w:rsidRPr="00F46562">
              <w:rPr>
                <w:rFonts w:ascii="Arial" w:hAnsi="Arial" w:cs="Arial"/>
                <w:sz w:val="20"/>
                <w:szCs w:val="20"/>
              </w:rPr>
              <w:t xml:space="preserve"> in the General Fund budget calculations for 20</w:t>
            </w:r>
            <w:r w:rsidR="00E20E4E">
              <w:rPr>
                <w:rFonts w:ascii="Arial" w:hAnsi="Arial" w:cs="Arial"/>
                <w:sz w:val="20"/>
                <w:szCs w:val="20"/>
              </w:rPr>
              <w:t>20/21</w:t>
            </w:r>
            <w:r w:rsidRPr="00F46562">
              <w:rPr>
                <w:rFonts w:ascii="Arial" w:hAnsi="Arial" w:cs="Arial"/>
                <w:sz w:val="20"/>
                <w:szCs w:val="20"/>
              </w:rPr>
              <w:t>.</w:t>
            </w:r>
          </w:p>
        </w:tc>
        <w:tc>
          <w:tcPr>
            <w:tcW w:w="0" w:type="auto"/>
            <w:shd w:val="clear" w:color="auto" w:fill="auto"/>
          </w:tcPr>
          <w:p w:rsidR="00486FB6" w:rsidRPr="00BD4ACB" w:rsidRDefault="00486FB6" w:rsidP="00BD5BA1">
            <w:pPr>
              <w:rPr>
                <w:rFonts w:ascii="Arial" w:hAnsi="Arial" w:cs="Arial"/>
                <w:sz w:val="20"/>
                <w:szCs w:val="20"/>
              </w:rPr>
            </w:pPr>
            <w:r w:rsidRPr="00BD4ACB">
              <w:rPr>
                <w:rFonts w:ascii="Arial" w:hAnsi="Arial" w:cs="Arial"/>
                <w:sz w:val="20"/>
                <w:szCs w:val="20"/>
              </w:rPr>
              <w:t>4</w:t>
            </w:r>
          </w:p>
        </w:tc>
        <w:tc>
          <w:tcPr>
            <w:tcW w:w="0" w:type="auto"/>
            <w:shd w:val="clear" w:color="auto" w:fill="auto"/>
          </w:tcPr>
          <w:p w:rsidR="00486FB6" w:rsidRPr="00BD4ACB" w:rsidRDefault="00486FB6" w:rsidP="00BD5BA1">
            <w:pPr>
              <w:rPr>
                <w:rFonts w:ascii="Arial" w:hAnsi="Arial" w:cs="Arial"/>
                <w:sz w:val="20"/>
                <w:szCs w:val="20"/>
              </w:rPr>
            </w:pPr>
            <w:r w:rsidRPr="00BD4ACB">
              <w:rPr>
                <w:rFonts w:ascii="Arial" w:hAnsi="Arial" w:cs="Arial"/>
                <w:sz w:val="20"/>
                <w:szCs w:val="20"/>
              </w:rPr>
              <w:t>3</w:t>
            </w:r>
          </w:p>
        </w:tc>
        <w:tc>
          <w:tcPr>
            <w:tcW w:w="0" w:type="auto"/>
            <w:shd w:val="clear" w:color="auto" w:fill="auto"/>
          </w:tcPr>
          <w:p w:rsidR="00486FB6" w:rsidRPr="00BD4ACB" w:rsidRDefault="00486FB6">
            <w:pPr>
              <w:rPr>
                <w:rFonts w:ascii="Arial" w:hAnsi="Arial" w:cs="Arial"/>
                <w:sz w:val="20"/>
                <w:szCs w:val="20"/>
              </w:rPr>
            </w:pPr>
            <w:r w:rsidRPr="00F46562">
              <w:rPr>
                <w:rFonts w:ascii="Arial" w:hAnsi="Arial" w:cs="Arial"/>
                <w:sz w:val="20"/>
                <w:szCs w:val="20"/>
              </w:rPr>
              <w:t>Members may opt for a lower rate reduction, or indeed a freeze in the Band D Council Tax rate.</w:t>
            </w:r>
          </w:p>
        </w:tc>
        <w:tc>
          <w:tcPr>
            <w:tcW w:w="0" w:type="auto"/>
            <w:shd w:val="clear" w:color="auto" w:fill="auto"/>
          </w:tcPr>
          <w:p w:rsidR="00486FB6" w:rsidRPr="00F46562" w:rsidRDefault="00486FB6" w:rsidP="00E20E4E">
            <w:pPr>
              <w:rPr>
                <w:rFonts w:ascii="Arial" w:hAnsi="Arial" w:cs="Arial"/>
                <w:sz w:val="20"/>
                <w:szCs w:val="20"/>
              </w:rPr>
            </w:pPr>
            <w:r w:rsidRPr="00F46562">
              <w:rPr>
                <w:rFonts w:ascii="Arial" w:hAnsi="Arial" w:cs="Arial"/>
                <w:sz w:val="20"/>
                <w:szCs w:val="20"/>
              </w:rPr>
              <w:t>The financial implications would be that for each 0.5% reduction on the proposed 20</w:t>
            </w:r>
            <w:r w:rsidR="00E20E4E">
              <w:rPr>
                <w:rFonts w:ascii="Arial" w:hAnsi="Arial" w:cs="Arial"/>
                <w:sz w:val="20"/>
                <w:szCs w:val="20"/>
              </w:rPr>
              <w:t>20/21</w:t>
            </w:r>
            <w:r w:rsidRPr="00F46562">
              <w:rPr>
                <w:rFonts w:ascii="Arial" w:hAnsi="Arial" w:cs="Arial"/>
                <w:sz w:val="20"/>
                <w:szCs w:val="20"/>
              </w:rPr>
              <w:t xml:space="preserve"> Band D charge, the loss of income is approximately £</w:t>
            </w:r>
            <w:r w:rsidR="00E20E4E">
              <w:rPr>
                <w:rFonts w:ascii="Arial" w:hAnsi="Arial" w:cs="Arial"/>
                <w:sz w:val="20"/>
                <w:szCs w:val="20"/>
              </w:rPr>
              <w:t>71</w:t>
            </w:r>
            <w:r w:rsidRPr="00F46562">
              <w:rPr>
                <w:rFonts w:ascii="Arial" w:hAnsi="Arial" w:cs="Arial"/>
                <w:sz w:val="20"/>
                <w:szCs w:val="20"/>
              </w:rPr>
              <w:t>k.</w:t>
            </w:r>
          </w:p>
        </w:tc>
        <w:tc>
          <w:tcPr>
            <w:tcW w:w="0" w:type="auto"/>
            <w:shd w:val="clear" w:color="auto" w:fill="auto"/>
          </w:tcPr>
          <w:p w:rsidR="00486FB6" w:rsidRPr="00BD4ACB" w:rsidRDefault="00486FB6">
            <w:pPr>
              <w:rPr>
                <w:rFonts w:ascii="Arial" w:hAnsi="Arial" w:cs="Arial"/>
                <w:sz w:val="20"/>
                <w:szCs w:val="20"/>
              </w:rPr>
            </w:pPr>
            <w:r w:rsidRPr="00BD4ACB">
              <w:rPr>
                <w:rFonts w:ascii="Arial" w:hAnsi="Arial" w:cs="Arial"/>
                <w:sz w:val="20"/>
                <w:szCs w:val="20"/>
              </w:rPr>
              <w:t>3</w:t>
            </w:r>
          </w:p>
        </w:tc>
        <w:tc>
          <w:tcPr>
            <w:tcW w:w="0" w:type="auto"/>
            <w:shd w:val="clear" w:color="auto" w:fill="auto"/>
          </w:tcPr>
          <w:p w:rsidR="00486FB6" w:rsidRPr="00BD4ACB" w:rsidRDefault="00486FB6">
            <w:pPr>
              <w:rPr>
                <w:rFonts w:ascii="Arial" w:hAnsi="Arial" w:cs="Arial"/>
                <w:sz w:val="20"/>
                <w:szCs w:val="20"/>
              </w:rPr>
            </w:pPr>
            <w:r w:rsidRPr="00BD4ACB">
              <w:rPr>
                <w:rFonts w:ascii="Arial" w:hAnsi="Arial" w:cs="Arial"/>
                <w:sz w:val="20"/>
                <w:szCs w:val="20"/>
              </w:rPr>
              <w:t>2</w:t>
            </w:r>
          </w:p>
        </w:tc>
        <w:tc>
          <w:tcPr>
            <w:tcW w:w="0" w:type="auto"/>
            <w:shd w:val="clear" w:color="auto" w:fill="auto"/>
          </w:tcPr>
          <w:p w:rsidR="00486FB6" w:rsidRPr="00F46562" w:rsidRDefault="00486FB6" w:rsidP="00B23884">
            <w:pPr>
              <w:rPr>
                <w:rFonts w:ascii="Arial" w:hAnsi="Arial" w:cs="Arial"/>
                <w:sz w:val="20"/>
                <w:szCs w:val="20"/>
              </w:rPr>
            </w:pPr>
            <w:r w:rsidRPr="00F46562">
              <w:rPr>
                <w:rFonts w:ascii="Arial" w:hAnsi="Arial" w:cs="Arial"/>
                <w:sz w:val="20"/>
                <w:szCs w:val="20"/>
              </w:rPr>
              <w:t>Monthly position on the cost of service provision during 20</w:t>
            </w:r>
            <w:r w:rsidR="00E20E4E">
              <w:rPr>
                <w:rFonts w:ascii="Arial" w:hAnsi="Arial" w:cs="Arial"/>
                <w:sz w:val="20"/>
                <w:szCs w:val="20"/>
              </w:rPr>
              <w:t>20/21</w:t>
            </w:r>
            <w:r w:rsidRPr="00F46562">
              <w:rPr>
                <w:rFonts w:ascii="Arial" w:hAnsi="Arial" w:cs="Arial"/>
                <w:sz w:val="20"/>
                <w:szCs w:val="20"/>
              </w:rPr>
              <w:t xml:space="preserve"> will be monitored and reported on the CORVU system).</w:t>
            </w:r>
          </w:p>
          <w:p w:rsidR="00486FB6" w:rsidRPr="00F46562" w:rsidRDefault="00486FB6" w:rsidP="00B23884">
            <w:pPr>
              <w:rPr>
                <w:rFonts w:ascii="Arial" w:hAnsi="Arial" w:cs="Arial"/>
                <w:sz w:val="20"/>
                <w:szCs w:val="20"/>
              </w:rPr>
            </w:pPr>
            <w:r w:rsidRPr="00F46562">
              <w:rPr>
                <w:rFonts w:ascii="Arial" w:hAnsi="Arial" w:cs="Arial"/>
                <w:sz w:val="20"/>
                <w:szCs w:val="20"/>
              </w:rPr>
              <w:t>Significant changes will be highlighted (Heads of Services).</w:t>
            </w:r>
          </w:p>
          <w:p w:rsidR="00486FB6" w:rsidRDefault="00486FB6" w:rsidP="00B23884">
            <w:pPr>
              <w:rPr>
                <w:rFonts w:ascii="Arial" w:hAnsi="Arial" w:cs="Arial"/>
                <w:sz w:val="20"/>
                <w:szCs w:val="20"/>
              </w:rPr>
            </w:pPr>
            <w:r w:rsidRPr="00F46562">
              <w:rPr>
                <w:rFonts w:ascii="Arial" w:hAnsi="Arial" w:cs="Arial"/>
                <w:sz w:val="20"/>
                <w:szCs w:val="20"/>
              </w:rPr>
              <w:t>Mitigating control owner: Nigel Kennedy</w:t>
            </w:r>
          </w:p>
          <w:p w:rsidR="00D67FD8" w:rsidRPr="00F46562" w:rsidRDefault="00D67FD8" w:rsidP="00B23884">
            <w:pPr>
              <w:rPr>
                <w:rFonts w:ascii="Arial" w:hAnsi="Arial" w:cs="Arial"/>
                <w:sz w:val="20"/>
                <w:szCs w:val="20"/>
              </w:rPr>
            </w:pPr>
          </w:p>
        </w:tc>
        <w:tc>
          <w:tcPr>
            <w:tcW w:w="0" w:type="auto"/>
            <w:shd w:val="clear" w:color="auto" w:fill="auto"/>
          </w:tcPr>
          <w:p w:rsidR="00486FB6" w:rsidRPr="00F46562" w:rsidRDefault="00486FB6" w:rsidP="00B23884">
            <w:pPr>
              <w:rPr>
                <w:rFonts w:ascii="Arial" w:hAnsi="Arial" w:cs="Arial"/>
                <w:sz w:val="20"/>
                <w:szCs w:val="20"/>
              </w:rPr>
            </w:pPr>
            <w:r w:rsidRPr="00F46562">
              <w:rPr>
                <w:rFonts w:ascii="Arial" w:hAnsi="Arial" w:cs="Arial"/>
                <w:sz w:val="20"/>
                <w:szCs w:val="20"/>
              </w:rPr>
              <w:t>That the cost of service provision remains in line with the agreed budget.</w:t>
            </w:r>
          </w:p>
        </w:tc>
        <w:tc>
          <w:tcPr>
            <w:tcW w:w="0" w:type="auto"/>
          </w:tcPr>
          <w:p w:rsidR="00486FB6" w:rsidRDefault="00486FB6" w:rsidP="00BD5BA1">
            <w:pPr>
              <w:rPr>
                <w:rFonts w:ascii="Arial" w:hAnsi="Arial" w:cs="Arial"/>
                <w:sz w:val="20"/>
                <w:szCs w:val="20"/>
              </w:rPr>
            </w:pPr>
            <w:r>
              <w:rPr>
                <w:rFonts w:ascii="Arial" w:hAnsi="Arial" w:cs="Arial"/>
                <w:sz w:val="20"/>
                <w:szCs w:val="20"/>
              </w:rPr>
              <w:t>3</w:t>
            </w:r>
          </w:p>
        </w:tc>
        <w:tc>
          <w:tcPr>
            <w:tcW w:w="0" w:type="auto"/>
          </w:tcPr>
          <w:p w:rsidR="00486FB6" w:rsidRDefault="00486FB6" w:rsidP="00BD5BA1">
            <w:pPr>
              <w:rPr>
                <w:rFonts w:ascii="Arial" w:hAnsi="Arial" w:cs="Arial"/>
                <w:sz w:val="20"/>
                <w:szCs w:val="20"/>
              </w:rPr>
            </w:pPr>
            <w:r>
              <w:rPr>
                <w:rFonts w:ascii="Arial" w:hAnsi="Arial" w:cs="Arial"/>
                <w:sz w:val="20"/>
                <w:szCs w:val="20"/>
              </w:rPr>
              <w:t>2</w:t>
            </w:r>
          </w:p>
        </w:tc>
      </w:tr>
      <w:tr w:rsidR="00897A21" w:rsidRPr="00BD4ACB" w:rsidTr="003161E2">
        <w:trPr>
          <w:trHeight w:val="1241"/>
        </w:trPr>
        <w:tc>
          <w:tcPr>
            <w:tcW w:w="0" w:type="auto"/>
            <w:shd w:val="clear" w:color="auto" w:fill="auto"/>
          </w:tcPr>
          <w:p w:rsidR="00177AB9" w:rsidRPr="00BD4ACB" w:rsidRDefault="00177AB9">
            <w:pPr>
              <w:rPr>
                <w:rFonts w:ascii="Arial" w:hAnsi="Arial" w:cs="Arial"/>
                <w:sz w:val="20"/>
                <w:szCs w:val="20"/>
              </w:rPr>
            </w:pPr>
          </w:p>
        </w:tc>
        <w:tc>
          <w:tcPr>
            <w:tcW w:w="0" w:type="auto"/>
            <w:shd w:val="clear" w:color="auto" w:fill="auto"/>
          </w:tcPr>
          <w:p w:rsidR="00177AB9" w:rsidRDefault="00177AB9" w:rsidP="00177AB9">
            <w:pPr>
              <w:rPr>
                <w:rFonts w:ascii="Arial" w:hAnsi="Arial" w:cs="Arial"/>
                <w:b/>
                <w:sz w:val="20"/>
                <w:szCs w:val="20"/>
              </w:rPr>
            </w:pPr>
            <w:r>
              <w:rPr>
                <w:rFonts w:ascii="Arial" w:hAnsi="Arial" w:cs="Arial"/>
                <w:b/>
                <w:sz w:val="20"/>
                <w:szCs w:val="20"/>
              </w:rPr>
              <w:t>THE OVERALL COUNCIL TAX PERCENTAGE INCREASE FOR 20</w:t>
            </w:r>
            <w:r w:rsidR="00E20E4E">
              <w:rPr>
                <w:rFonts w:ascii="Arial" w:hAnsi="Arial" w:cs="Arial"/>
                <w:b/>
                <w:sz w:val="20"/>
                <w:szCs w:val="20"/>
              </w:rPr>
              <w:t>20/21</w:t>
            </w:r>
          </w:p>
          <w:p w:rsidR="00177AB9" w:rsidRDefault="00177AB9" w:rsidP="00897A21">
            <w:pPr>
              <w:rPr>
                <w:rFonts w:ascii="Arial" w:hAnsi="Arial" w:cs="Arial"/>
                <w:sz w:val="20"/>
                <w:szCs w:val="20"/>
              </w:rPr>
            </w:pPr>
            <w:r>
              <w:rPr>
                <w:rFonts w:ascii="Arial" w:hAnsi="Arial" w:cs="Arial"/>
                <w:sz w:val="20"/>
                <w:szCs w:val="20"/>
              </w:rPr>
              <w:t>The overall effect of the increases proposed by City Council (</w:t>
            </w:r>
            <w:r w:rsidR="00E20E4E">
              <w:rPr>
                <w:rFonts w:ascii="Arial" w:hAnsi="Arial" w:cs="Arial"/>
                <w:sz w:val="20"/>
                <w:szCs w:val="20"/>
              </w:rPr>
              <w:t>1</w:t>
            </w:r>
            <w:r>
              <w:rPr>
                <w:rFonts w:ascii="Arial" w:hAnsi="Arial" w:cs="Arial"/>
                <w:sz w:val="20"/>
                <w:szCs w:val="20"/>
              </w:rPr>
              <w:t>.99%), County Council (</w:t>
            </w:r>
            <w:r w:rsidR="00E20E4E">
              <w:rPr>
                <w:rFonts w:ascii="Arial" w:hAnsi="Arial" w:cs="Arial"/>
                <w:sz w:val="20"/>
                <w:szCs w:val="20"/>
              </w:rPr>
              <w:t>3</w:t>
            </w:r>
            <w:r>
              <w:rPr>
                <w:rFonts w:ascii="Arial" w:hAnsi="Arial" w:cs="Arial"/>
                <w:sz w:val="20"/>
                <w:szCs w:val="20"/>
              </w:rPr>
              <w:t>.99%) and Police and Crime Commissioner (</w:t>
            </w:r>
            <w:r w:rsidR="00262DF8">
              <w:rPr>
                <w:rFonts w:ascii="Arial" w:hAnsi="Arial" w:cs="Arial"/>
                <w:sz w:val="20"/>
                <w:szCs w:val="20"/>
              </w:rPr>
              <w:t>4.8</w:t>
            </w:r>
            <w:r>
              <w:rPr>
                <w:rFonts w:ascii="Arial" w:hAnsi="Arial" w:cs="Arial"/>
                <w:sz w:val="20"/>
                <w:szCs w:val="20"/>
              </w:rPr>
              <w:t xml:space="preserve">%), mean that most Oxford residents will face a </w:t>
            </w:r>
            <w:r w:rsidR="00262DF8">
              <w:rPr>
                <w:rFonts w:ascii="Arial" w:hAnsi="Arial" w:cs="Arial"/>
                <w:sz w:val="20"/>
                <w:szCs w:val="20"/>
              </w:rPr>
              <w:t>3.8</w:t>
            </w:r>
            <w:r>
              <w:rPr>
                <w:rFonts w:ascii="Arial" w:hAnsi="Arial" w:cs="Arial"/>
                <w:sz w:val="20"/>
                <w:szCs w:val="20"/>
              </w:rPr>
              <w:t>%</w:t>
            </w:r>
            <w:r w:rsidR="0021054E">
              <w:rPr>
                <w:rFonts w:ascii="Arial" w:hAnsi="Arial" w:cs="Arial"/>
                <w:sz w:val="20"/>
                <w:szCs w:val="20"/>
              </w:rPr>
              <w:t xml:space="preserve"> increase</w:t>
            </w:r>
            <w:r>
              <w:rPr>
                <w:rFonts w:ascii="Arial" w:hAnsi="Arial" w:cs="Arial"/>
                <w:sz w:val="20"/>
                <w:szCs w:val="20"/>
              </w:rPr>
              <w:t xml:space="preserve"> in their Council Tax liability for 20</w:t>
            </w:r>
            <w:r w:rsidR="00897A21">
              <w:rPr>
                <w:rFonts w:ascii="Arial" w:hAnsi="Arial" w:cs="Arial"/>
                <w:sz w:val="20"/>
                <w:szCs w:val="20"/>
              </w:rPr>
              <w:t>20/21</w:t>
            </w:r>
            <w:r>
              <w:rPr>
                <w:rFonts w:ascii="Arial" w:hAnsi="Arial" w:cs="Arial"/>
                <w:sz w:val="20"/>
                <w:szCs w:val="20"/>
              </w:rPr>
              <w:t xml:space="preserve">. </w:t>
            </w:r>
          </w:p>
          <w:p w:rsidR="00D67FD8" w:rsidRPr="00177AB9" w:rsidRDefault="00D67FD8" w:rsidP="00897A21">
            <w:pPr>
              <w:rPr>
                <w:rFonts w:ascii="Arial" w:hAnsi="Arial" w:cs="Arial"/>
                <w:sz w:val="20"/>
                <w:szCs w:val="20"/>
              </w:rPr>
            </w:pPr>
            <w:bookmarkStart w:id="0" w:name="_GoBack"/>
            <w:bookmarkEnd w:id="0"/>
          </w:p>
        </w:tc>
        <w:tc>
          <w:tcPr>
            <w:tcW w:w="0" w:type="auto"/>
            <w:shd w:val="clear" w:color="auto" w:fill="auto"/>
          </w:tcPr>
          <w:p w:rsidR="00177AB9" w:rsidRPr="00BD4ACB" w:rsidRDefault="00B273FC" w:rsidP="00BD5BA1">
            <w:pPr>
              <w:rPr>
                <w:rFonts w:ascii="Arial" w:hAnsi="Arial" w:cs="Arial"/>
                <w:sz w:val="20"/>
                <w:szCs w:val="20"/>
              </w:rPr>
            </w:pPr>
            <w:r>
              <w:rPr>
                <w:rFonts w:ascii="Arial" w:hAnsi="Arial" w:cs="Arial"/>
                <w:sz w:val="20"/>
                <w:szCs w:val="20"/>
              </w:rPr>
              <w:t>4</w:t>
            </w:r>
          </w:p>
        </w:tc>
        <w:tc>
          <w:tcPr>
            <w:tcW w:w="0" w:type="auto"/>
            <w:shd w:val="clear" w:color="auto" w:fill="auto"/>
          </w:tcPr>
          <w:p w:rsidR="00177AB9" w:rsidRPr="00BD4ACB" w:rsidRDefault="00B273FC" w:rsidP="00BD5BA1">
            <w:pPr>
              <w:rPr>
                <w:rFonts w:ascii="Arial" w:hAnsi="Arial" w:cs="Arial"/>
                <w:sz w:val="20"/>
                <w:szCs w:val="20"/>
              </w:rPr>
            </w:pPr>
            <w:r>
              <w:rPr>
                <w:rFonts w:ascii="Arial" w:hAnsi="Arial" w:cs="Arial"/>
                <w:sz w:val="20"/>
                <w:szCs w:val="20"/>
              </w:rPr>
              <w:t>4</w:t>
            </w:r>
          </w:p>
        </w:tc>
        <w:tc>
          <w:tcPr>
            <w:tcW w:w="0" w:type="auto"/>
            <w:shd w:val="clear" w:color="auto" w:fill="auto"/>
          </w:tcPr>
          <w:p w:rsidR="00177AB9" w:rsidRPr="00F46562" w:rsidRDefault="00480EB4" w:rsidP="00480EB4">
            <w:pPr>
              <w:rPr>
                <w:rFonts w:ascii="Arial" w:hAnsi="Arial" w:cs="Arial"/>
                <w:sz w:val="20"/>
                <w:szCs w:val="20"/>
              </w:rPr>
            </w:pPr>
            <w:r>
              <w:rPr>
                <w:rFonts w:ascii="Arial" w:hAnsi="Arial" w:cs="Arial"/>
                <w:sz w:val="20"/>
                <w:szCs w:val="20"/>
              </w:rPr>
              <w:t>The City Council are the Billing Authority</w:t>
            </w:r>
            <w:r w:rsidR="0021054E">
              <w:rPr>
                <w:rFonts w:ascii="Arial" w:hAnsi="Arial" w:cs="Arial"/>
                <w:sz w:val="20"/>
                <w:szCs w:val="20"/>
              </w:rPr>
              <w:t>,</w:t>
            </w:r>
            <w:r>
              <w:rPr>
                <w:rFonts w:ascii="Arial" w:hAnsi="Arial" w:cs="Arial"/>
                <w:sz w:val="20"/>
                <w:szCs w:val="20"/>
              </w:rPr>
              <w:t xml:space="preserve"> and collect Council Tax on behalf of the County Council and the Police and Crime Commissioner. The size of the increases will likely result in an increased number of personal visits and telephone enquiries. </w:t>
            </w:r>
          </w:p>
        </w:tc>
        <w:tc>
          <w:tcPr>
            <w:tcW w:w="0" w:type="auto"/>
            <w:shd w:val="clear" w:color="auto" w:fill="auto"/>
          </w:tcPr>
          <w:p w:rsidR="00177AB9" w:rsidRPr="00F46562" w:rsidRDefault="00480EB4" w:rsidP="00E20E4E">
            <w:pPr>
              <w:rPr>
                <w:rFonts w:ascii="Arial" w:hAnsi="Arial" w:cs="Arial"/>
                <w:sz w:val="20"/>
                <w:szCs w:val="20"/>
              </w:rPr>
            </w:pPr>
            <w:r>
              <w:rPr>
                <w:rFonts w:ascii="Arial" w:hAnsi="Arial" w:cs="Arial"/>
                <w:sz w:val="20"/>
                <w:szCs w:val="20"/>
              </w:rPr>
              <w:t>Information will be available on the</w:t>
            </w:r>
            <w:r w:rsidR="00B93C0D">
              <w:rPr>
                <w:rFonts w:ascii="Arial" w:hAnsi="Arial" w:cs="Arial"/>
                <w:sz w:val="20"/>
                <w:szCs w:val="20"/>
              </w:rPr>
              <w:t xml:space="preserve"> Council’s website</w:t>
            </w:r>
            <w:r>
              <w:rPr>
                <w:rFonts w:ascii="Arial" w:hAnsi="Arial" w:cs="Arial"/>
                <w:sz w:val="20"/>
                <w:szCs w:val="20"/>
              </w:rPr>
              <w:t xml:space="preserve"> prior to the bills being delivered confirming that the City Council’s share of the overall tax has increased by only </w:t>
            </w:r>
            <w:r w:rsidR="00E20E4E">
              <w:rPr>
                <w:rFonts w:ascii="Arial" w:hAnsi="Arial" w:cs="Arial"/>
                <w:sz w:val="20"/>
                <w:szCs w:val="20"/>
              </w:rPr>
              <w:t>1</w:t>
            </w:r>
            <w:r>
              <w:rPr>
                <w:rFonts w:ascii="Arial" w:hAnsi="Arial" w:cs="Arial"/>
                <w:sz w:val="20"/>
                <w:szCs w:val="20"/>
              </w:rPr>
              <w:t>.99% - an annual increase of £</w:t>
            </w:r>
            <w:r w:rsidR="00E20E4E">
              <w:rPr>
                <w:rFonts w:ascii="Arial" w:hAnsi="Arial" w:cs="Arial"/>
                <w:sz w:val="20"/>
                <w:szCs w:val="20"/>
              </w:rPr>
              <w:t>6.12</w:t>
            </w:r>
            <w:r>
              <w:rPr>
                <w:rFonts w:ascii="Arial" w:hAnsi="Arial" w:cs="Arial"/>
                <w:sz w:val="20"/>
                <w:szCs w:val="20"/>
              </w:rPr>
              <w:t xml:space="preserve"> or approximately 1</w:t>
            </w:r>
            <w:r w:rsidR="00E20E4E">
              <w:rPr>
                <w:rFonts w:ascii="Arial" w:hAnsi="Arial" w:cs="Arial"/>
                <w:sz w:val="20"/>
                <w:szCs w:val="20"/>
              </w:rPr>
              <w:t>2</w:t>
            </w:r>
            <w:r>
              <w:rPr>
                <w:rFonts w:ascii="Arial" w:hAnsi="Arial" w:cs="Arial"/>
                <w:sz w:val="20"/>
                <w:szCs w:val="20"/>
              </w:rPr>
              <w:t xml:space="preserve">p per week. </w:t>
            </w:r>
            <w:r w:rsidR="008A68FF">
              <w:rPr>
                <w:rFonts w:ascii="Arial" w:hAnsi="Arial" w:cs="Arial"/>
                <w:sz w:val="20"/>
                <w:szCs w:val="20"/>
              </w:rPr>
              <w:t>The Contact</w:t>
            </w:r>
            <w:r w:rsidR="00B273FC">
              <w:rPr>
                <w:rFonts w:ascii="Arial" w:hAnsi="Arial" w:cs="Arial"/>
                <w:sz w:val="20"/>
                <w:szCs w:val="20"/>
              </w:rPr>
              <w:t xml:space="preserve"> Centre staff will be fully updated before the bills are delivered.</w:t>
            </w:r>
            <w:r>
              <w:rPr>
                <w:rFonts w:ascii="Arial" w:hAnsi="Arial" w:cs="Arial"/>
                <w:sz w:val="20"/>
                <w:szCs w:val="20"/>
              </w:rPr>
              <w:t xml:space="preserve">  </w:t>
            </w:r>
          </w:p>
        </w:tc>
        <w:tc>
          <w:tcPr>
            <w:tcW w:w="0" w:type="auto"/>
            <w:shd w:val="clear" w:color="auto" w:fill="auto"/>
          </w:tcPr>
          <w:p w:rsidR="00177AB9" w:rsidRPr="00BD4ACB" w:rsidRDefault="00B273FC">
            <w:pPr>
              <w:rPr>
                <w:rFonts w:ascii="Arial" w:hAnsi="Arial" w:cs="Arial"/>
                <w:sz w:val="20"/>
                <w:szCs w:val="20"/>
              </w:rPr>
            </w:pPr>
            <w:r>
              <w:rPr>
                <w:rFonts w:ascii="Arial" w:hAnsi="Arial" w:cs="Arial"/>
                <w:sz w:val="20"/>
                <w:szCs w:val="20"/>
              </w:rPr>
              <w:t>3</w:t>
            </w:r>
          </w:p>
        </w:tc>
        <w:tc>
          <w:tcPr>
            <w:tcW w:w="0" w:type="auto"/>
            <w:shd w:val="clear" w:color="auto" w:fill="auto"/>
          </w:tcPr>
          <w:p w:rsidR="00177AB9" w:rsidRPr="00BD4ACB" w:rsidRDefault="00B273FC">
            <w:pPr>
              <w:rPr>
                <w:rFonts w:ascii="Arial" w:hAnsi="Arial" w:cs="Arial"/>
                <w:sz w:val="20"/>
                <w:szCs w:val="20"/>
              </w:rPr>
            </w:pPr>
            <w:r>
              <w:rPr>
                <w:rFonts w:ascii="Arial" w:hAnsi="Arial" w:cs="Arial"/>
                <w:sz w:val="20"/>
                <w:szCs w:val="20"/>
              </w:rPr>
              <w:t>2</w:t>
            </w:r>
          </w:p>
        </w:tc>
        <w:tc>
          <w:tcPr>
            <w:tcW w:w="0" w:type="auto"/>
            <w:shd w:val="clear" w:color="auto" w:fill="auto"/>
          </w:tcPr>
          <w:p w:rsidR="00177AB9" w:rsidRPr="00F46562" w:rsidRDefault="00B273FC" w:rsidP="00B273FC">
            <w:pPr>
              <w:rPr>
                <w:rFonts w:ascii="Arial" w:hAnsi="Arial" w:cs="Arial"/>
                <w:sz w:val="20"/>
                <w:szCs w:val="20"/>
              </w:rPr>
            </w:pPr>
            <w:r>
              <w:rPr>
                <w:rFonts w:ascii="Arial" w:hAnsi="Arial" w:cs="Arial"/>
                <w:sz w:val="20"/>
                <w:szCs w:val="20"/>
              </w:rPr>
              <w:t xml:space="preserve">The numbers of telephone enquiries and visits to St Aldate’s Chambers will be monitored and staffing resources arranged so as to ensure calls and visits are dealt with in accordance with our normal service standards. </w:t>
            </w:r>
          </w:p>
        </w:tc>
        <w:tc>
          <w:tcPr>
            <w:tcW w:w="0" w:type="auto"/>
            <w:shd w:val="clear" w:color="auto" w:fill="auto"/>
          </w:tcPr>
          <w:p w:rsidR="00177AB9" w:rsidRPr="00F46562" w:rsidRDefault="00304CC6" w:rsidP="00304CC6">
            <w:pPr>
              <w:rPr>
                <w:rFonts w:ascii="Arial" w:hAnsi="Arial" w:cs="Arial"/>
                <w:sz w:val="20"/>
                <w:szCs w:val="20"/>
              </w:rPr>
            </w:pPr>
            <w:r>
              <w:rPr>
                <w:rFonts w:ascii="Arial" w:hAnsi="Arial" w:cs="Arial"/>
                <w:sz w:val="20"/>
                <w:szCs w:val="20"/>
              </w:rPr>
              <w:t xml:space="preserve">The mitigating measures will help to a) keep the numbers of callers and phone enquiries down and b) give taxpayers accurate and relevant information.  </w:t>
            </w:r>
          </w:p>
        </w:tc>
        <w:tc>
          <w:tcPr>
            <w:tcW w:w="0" w:type="auto"/>
          </w:tcPr>
          <w:p w:rsidR="00177AB9" w:rsidRDefault="00304CC6" w:rsidP="00BD5BA1">
            <w:pPr>
              <w:rPr>
                <w:rFonts w:ascii="Arial" w:hAnsi="Arial" w:cs="Arial"/>
                <w:sz w:val="20"/>
                <w:szCs w:val="20"/>
              </w:rPr>
            </w:pPr>
            <w:r>
              <w:rPr>
                <w:rFonts w:ascii="Arial" w:hAnsi="Arial" w:cs="Arial"/>
                <w:sz w:val="20"/>
                <w:szCs w:val="20"/>
              </w:rPr>
              <w:t>3</w:t>
            </w:r>
          </w:p>
        </w:tc>
        <w:tc>
          <w:tcPr>
            <w:tcW w:w="0" w:type="auto"/>
          </w:tcPr>
          <w:p w:rsidR="00177AB9" w:rsidRDefault="00304CC6" w:rsidP="00BD5BA1">
            <w:pPr>
              <w:rPr>
                <w:rFonts w:ascii="Arial" w:hAnsi="Arial" w:cs="Arial"/>
                <w:sz w:val="20"/>
                <w:szCs w:val="20"/>
              </w:rPr>
            </w:pPr>
            <w:r>
              <w:rPr>
                <w:rFonts w:ascii="Arial" w:hAnsi="Arial" w:cs="Arial"/>
                <w:sz w:val="20"/>
                <w:szCs w:val="20"/>
              </w:rPr>
              <w:t>2</w:t>
            </w:r>
          </w:p>
        </w:tc>
      </w:tr>
      <w:tr w:rsidR="00897A21" w:rsidRPr="00BD4ACB" w:rsidTr="003161E2">
        <w:trPr>
          <w:trHeight w:val="1241"/>
        </w:trPr>
        <w:tc>
          <w:tcPr>
            <w:tcW w:w="0" w:type="auto"/>
            <w:shd w:val="clear" w:color="auto" w:fill="auto"/>
          </w:tcPr>
          <w:p w:rsidR="00084E45" w:rsidRPr="00BD4ACB" w:rsidRDefault="00084E45">
            <w:pPr>
              <w:rPr>
                <w:rFonts w:ascii="Arial" w:hAnsi="Arial" w:cs="Arial"/>
                <w:sz w:val="20"/>
                <w:szCs w:val="20"/>
              </w:rPr>
            </w:pPr>
          </w:p>
        </w:tc>
        <w:tc>
          <w:tcPr>
            <w:tcW w:w="0" w:type="auto"/>
            <w:shd w:val="clear" w:color="auto" w:fill="auto"/>
          </w:tcPr>
          <w:p w:rsidR="00084E45" w:rsidRDefault="00084E45" w:rsidP="00177AB9">
            <w:pPr>
              <w:rPr>
                <w:rFonts w:ascii="Arial" w:hAnsi="Arial" w:cs="Arial"/>
                <w:b/>
                <w:sz w:val="20"/>
                <w:szCs w:val="20"/>
              </w:rPr>
            </w:pPr>
            <w:r>
              <w:rPr>
                <w:rFonts w:ascii="Arial" w:hAnsi="Arial" w:cs="Arial"/>
                <w:b/>
                <w:sz w:val="20"/>
                <w:szCs w:val="20"/>
              </w:rPr>
              <w:t>COUNCIL TAX COLLECTION RATE</w:t>
            </w:r>
          </w:p>
          <w:p w:rsidR="00084E45" w:rsidRPr="00084E45" w:rsidRDefault="00277B61" w:rsidP="00897A21">
            <w:pPr>
              <w:rPr>
                <w:rFonts w:ascii="Arial" w:hAnsi="Arial" w:cs="Arial"/>
                <w:sz w:val="20"/>
                <w:szCs w:val="20"/>
              </w:rPr>
            </w:pPr>
            <w:r>
              <w:rPr>
                <w:rFonts w:ascii="Arial" w:hAnsi="Arial" w:cs="Arial"/>
                <w:sz w:val="20"/>
                <w:szCs w:val="20"/>
              </w:rPr>
              <w:t xml:space="preserve">The overall tax increase </w:t>
            </w:r>
            <w:r w:rsidR="00084E45">
              <w:rPr>
                <w:rFonts w:ascii="Arial" w:hAnsi="Arial" w:cs="Arial"/>
                <w:sz w:val="20"/>
                <w:szCs w:val="20"/>
              </w:rPr>
              <w:t>means that the average Band D Council Tax will increase by over £</w:t>
            </w:r>
            <w:r w:rsidR="00262DF8">
              <w:rPr>
                <w:rFonts w:ascii="Arial" w:hAnsi="Arial" w:cs="Arial"/>
                <w:sz w:val="20"/>
                <w:szCs w:val="20"/>
              </w:rPr>
              <w:t>74</w:t>
            </w:r>
            <w:r w:rsidR="00084E45">
              <w:rPr>
                <w:rFonts w:ascii="Arial" w:hAnsi="Arial" w:cs="Arial"/>
                <w:sz w:val="20"/>
                <w:szCs w:val="20"/>
              </w:rPr>
              <w:t xml:space="preserve"> when compared with the 201</w:t>
            </w:r>
            <w:r w:rsidR="00897A21">
              <w:rPr>
                <w:rFonts w:ascii="Arial" w:hAnsi="Arial" w:cs="Arial"/>
                <w:sz w:val="20"/>
                <w:szCs w:val="20"/>
              </w:rPr>
              <w:t>9/20</w:t>
            </w:r>
            <w:r w:rsidR="00084E45">
              <w:rPr>
                <w:rFonts w:ascii="Arial" w:hAnsi="Arial" w:cs="Arial"/>
                <w:sz w:val="20"/>
                <w:szCs w:val="20"/>
              </w:rPr>
              <w:t xml:space="preserve"> figure.</w:t>
            </w:r>
          </w:p>
        </w:tc>
        <w:tc>
          <w:tcPr>
            <w:tcW w:w="0" w:type="auto"/>
            <w:shd w:val="clear" w:color="auto" w:fill="auto"/>
          </w:tcPr>
          <w:p w:rsidR="00084E45" w:rsidRDefault="00084E45" w:rsidP="00BD5BA1">
            <w:pPr>
              <w:rPr>
                <w:rFonts w:ascii="Arial" w:hAnsi="Arial" w:cs="Arial"/>
                <w:sz w:val="20"/>
                <w:szCs w:val="20"/>
              </w:rPr>
            </w:pPr>
            <w:r>
              <w:rPr>
                <w:rFonts w:ascii="Arial" w:hAnsi="Arial" w:cs="Arial"/>
                <w:sz w:val="20"/>
                <w:szCs w:val="20"/>
              </w:rPr>
              <w:t>4</w:t>
            </w:r>
          </w:p>
        </w:tc>
        <w:tc>
          <w:tcPr>
            <w:tcW w:w="0" w:type="auto"/>
            <w:shd w:val="clear" w:color="auto" w:fill="auto"/>
          </w:tcPr>
          <w:p w:rsidR="00084E45" w:rsidRDefault="00084E45" w:rsidP="00BD5BA1">
            <w:pPr>
              <w:rPr>
                <w:rFonts w:ascii="Arial" w:hAnsi="Arial" w:cs="Arial"/>
                <w:sz w:val="20"/>
                <w:szCs w:val="20"/>
              </w:rPr>
            </w:pPr>
            <w:r>
              <w:rPr>
                <w:rFonts w:ascii="Arial" w:hAnsi="Arial" w:cs="Arial"/>
                <w:sz w:val="20"/>
                <w:szCs w:val="20"/>
              </w:rPr>
              <w:t>4</w:t>
            </w:r>
          </w:p>
        </w:tc>
        <w:tc>
          <w:tcPr>
            <w:tcW w:w="0" w:type="auto"/>
            <w:shd w:val="clear" w:color="auto" w:fill="auto"/>
          </w:tcPr>
          <w:p w:rsidR="00084E45" w:rsidRDefault="00084E45" w:rsidP="00480EB4">
            <w:pPr>
              <w:rPr>
                <w:rFonts w:ascii="Arial" w:hAnsi="Arial" w:cs="Arial"/>
                <w:sz w:val="20"/>
                <w:szCs w:val="20"/>
              </w:rPr>
            </w:pPr>
            <w:r>
              <w:rPr>
                <w:rFonts w:ascii="Arial" w:hAnsi="Arial" w:cs="Arial"/>
                <w:sz w:val="20"/>
                <w:szCs w:val="20"/>
              </w:rPr>
              <w:t>Taxpayers will find it increasingly difficult to pay the full amount of Council Tax due</w:t>
            </w:r>
          </w:p>
        </w:tc>
        <w:tc>
          <w:tcPr>
            <w:tcW w:w="0" w:type="auto"/>
            <w:shd w:val="clear" w:color="auto" w:fill="auto"/>
          </w:tcPr>
          <w:p w:rsidR="00084E45" w:rsidRDefault="008A68FF" w:rsidP="008A68FF">
            <w:pPr>
              <w:rPr>
                <w:rFonts w:ascii="Arial" w:hAnsi="Arial" w:cs="Arial"/>
                <w:sz w:val="20"/>
                <w:szCs w:val="20"/>
              </w:rPr>
            </w:pPr>
            <w:r>
              <w:rPr>
                <w:rFonts w:ascii="Arial" w:hAnsi="Arial" w:cs="Arial"/>
                <w:sz w:val="20"/>
                <w:szCs w:val="20"/>
              </w:rPr>
              <w:t xml:space="preserve">If necessary, request will be made to </w:t>
            </w:r>
            <w:r w:rsidR="00084E45">
              <w:rPr>
                <w:rFonts w:ascii="Arial" w:hAnsi="Arial" w:cs="Arial"/>
                <w:sz w:val="20"/>
                <w:szCs w:val="20"/>
              </w:rPr>
              <w:t>The Head of Service</w:t>
            </w:r>
            <w:r>
              <w:rPr>
                <w:rFonts w:ascii="Arial" w:hAnsi="Arial" w:cs="Arial"/>
                <w:sz w:val="20"/>
                <w:szCs w:val="20"/>
              </w:rPr>
              <w:t xml:space="preserve"> to input</w:t>
            </w:r>
            <w:r w:rsidR="00084E45">
              <w:rPr>
                <w:rFonts w:ascii="Arial" w:hAnsi="Arial" w:cs="Arial"/>
                <w:sz w:val="20"/>
                <w:szCs w:val="20"/>
              </w:rPr>
              <w:t xml:space="preserve"> further resources into the collection / recovery process.</w:t>
            </w:r>
          </w:p>
        </w:tc>
        <w:tc>
          <w:tcPr>
            <w:tcW w:w="0" w:type="auto"/>
            <w:shd w:val="clear" w:color="auto" w:fill="auto"/>
          </w:tcPr>
          <w:p w:rsidR="00084E45" w:rsidRDefault="00084E45">
            <w:pPr>
              <w:rPr>
                <w:rFonts w:ascii="Arial" w:hAnsi="Arial" w:cs="Arial"/>
                <w:sz w:val="20"/>
                <w:szCs w:val="20"/>
              </w:rPr>
            </w:pPr>
            <w:r>
              <w:rPr>
                <w:rFonts w:ascii="Arial" w:hAnsi="Arial" w:cs="Arial"/>
                <w:sz w:val="20"/>
                <w:szCs w:val="20"/>
              </w:rPr>
              <w:t>3</w:t>
            </w:r>
          </w:p>
        </w:tc>
        <w:tc>
          <w:tcPr>
            <w:tcW w:w="0" w:type="auto"/>
            <w:shd w:val="clear" w:color="auto" w:fill="auto"/>
          </w:tcPr>
          <w:p w:rsidR="00084E45" w:rsidRDefault="00084E45">
            <w:pPr>
              <w:rPr>
                <w:rFonts w:ascii="Arial" w:hAnsi="Arial" w:cs="Arial"/>
                <w:sz w:val="20"/>
                <w:szCs w:val="20"/>
              </w:rPr>
            </w:pPr>
            <w:r>
              <w:rPr>
                <w:rFonts w:ascii="Arial" w:hAnsi="Arial" w:cs="Arial"/>
                <w:sz w:val="20"/>
                <w:szCs w:val="20"/>
              </w:rPr>
              <w:t>2</w:t>
            </w:r>
          </w:p>
        </w:tc>
        <w:tc>
          <w:tcPr>
            <w:tcW w:w="0" w:type="auto"/>
            <w:shd w:val="clear" w:color="auto" w:fill="auto"/>
          </w:tcPr>
          <w:p w:rsidR="00084E45" w:rsidRPr="00BD4ACB" w:rsidRDefault="00084E45" w:rsidP="00897A21">
            <w:pPr>
              <w:rPr>
                <w:rFonts w:ascii="Arial" w:hAnsi="Arial" w:cs="Arial"/>
                <w:sz w:val="20"/>
                <w:szCs w:val="20"/>
              </w:rPr>
            </w:pPr>
            <w:r>
              <w:rPr>
                <w:rFonts w:ascii="Arial" w:hAnsi="Arial" w:cs="Arial"/>
                <w:sz w:val="20"/>
                <w:szCs w:val="20"/>
              </w:rPr>
              <w:t>Collection of the 20</w:t>
            </w:r>
            <w:r w:rsidR="00897A21">
              <w:rPr>
                <w:rFonts w:ascii="Arial" w:hAnsi="Arial" w:cs="Arial"/>
                <w:sz w:val="20"/>
                <w:szCs w:val="20"/>
              </w:rPr>
              <w:t>20/21</w:t>
            </w:r>
            <w:r>
              <w:rPr>
                <w:rFonts w:ascii="Arial" w:hAnsi="Arial" w:cs="Arial"/>
                <w:sz w:val="20"/>
                <w:szCs w:val="20"/>
              </w:rPr>
              <w:t xml:space="preserve"> debit will be monitored and reported at least monthly by the Finance Technical Officer (Adrian Wood). The </w:t>
            </w:r>
            <w:proofErr w:type="spellStart"/>
            <w:r>
              <w:rPr>
                <w:rFonts w:ascii="Arial" w:hAnsi="Arial" w:cs="Arial"/>
                <w:sz w:val="20"/>
                <w:szCs w:val="20"/>
              </w:rPr>
              <w:t>HoS</w:t>
            </w:r>
            <w:proofErr w:type="spellEnd"/>
            <w:r>
              <w:rPr>
                <w:rFonts w:ascii="Arial" w:hAnsi="Arial" w:cs="Arial"/>
                <w:sz w:val="20"/>
                <w:szCs w:val="20"/>
              </w:rPr>
              <w:t xml:space="preserve"> will be kept closely informed and the position discussed at the monthly </w:t>
            </w:r>
            <w:r>
              <w:rPr>
                <w:rFonts w:ascii="Arial" w:hAnsi="Arial" w:cs="Arial"/>
                <w:sz w:val="20"/>
                <w:szCs w:val="20"/>
              </w:rPr>
              <w:lastRenderedPageBreak/>
              <w:t>Performance meetings.</w:t>
            </w:r>
          </w:p>
        </w:tc>
        <w:tc>
          <w:tcPr>
            <w:tcW w:w="0" w:type="auto"/>
            <w:shd w:val="clear" w:color="auto" w:fill="auto"/>
          </w:tcPr>
          <w:p w:rsidR="00084E45" w:rsidRPr="00BD4ACB" w:rsidRDefault="00084E45" w:rsidP="00705944">
            <w:pPr>
              <w:rPr>
                <w:rFonts w:ascii="Arial" w:hAnsi="Arial" w:cs="Arial"/>
                <w:sz w:val="20"/>
                <w:szCs w:val="20"/>
              </w:rPr>
            </w:pPr>
            <w:r>
              <w:rPr>
                <w:rFonts w:ascii="Arial" w:hAnsi="Arial" w:cs="Arial"/>
                <w:sz w:val="20"/>
                <w:szCs w:val="20"/>
              </w:rPr>
              <w:lastRenderedPageBreak/>
              <w:t>The collection rate to remain on course as much as possible to minimise the possibility of a shortfall arising.</w:t>
            </w:r>
          </w:p>
        </w:tc>
        <w:tc>
          <w:tcPr>
            <w:tcW w:w="0" w:type="auto"/>
          </w:tcPr>
          <w:p w:rsidR="00084E45" w:rsidRDefault="00084E45" w:rsidP="00BD5BA1">
            <w:pPr>
              <w:rPr>
                <w:rFonts w:ascii="Arial" w:hAnsi="Arial" w:cs="Arial"/>
                <w:sz w:val="20"/>
                <w:szCs w:val="20"/>
              </w:rPr>
            </w:pPr>
            <w:r>
              <w:rPr>
                <w:rFonts w:ascii="Arial" w:hAnsi="Arial" w:cs="Arial"/>
                <w:sz w:val="20"/>
                <w:szCs w:val="20"/>
              </w:rPr>
              <w:t>3</w:t>
            </w:r>
          </w:p>
        </w:tc>
        <w:tc>
          <w:tcPr>
            <w:tcW w:w="0" w:type="auto"/>
          </w:tcPr>
          <w:p w:rsidR="00084E45" w:rsidRDefault="00084E45" w:rsidP="00BD5BA1">
            <w:pPr>
              <w:rPr>
                <w:rFonts w:ascii="Arial" w:hAnsi="Arial" w:cs="Arial"/>
                <w:sz w:val="20"/>
                <w:szCs w:val="20"/>
              </w:rPr>
            </w:pPr>
            <w:r>
              <w:rPr>
                <w:rFonts w:ascii="Arial" w:hAnsi="Arial" w:cs="Arial"/>
                <w:sz w:val="20"/>
                <w:szCs w:val="20"/>
              </w:rPr>
              <w:t>2</w:t>
            </w:r>
          </w:p>
        </w:tc>
      </w:tr>
    </w:tbl>
    <w:p w:rsidR="00E26C49" w:rsidRPr="00F7617D" w:rsidRDefault="00E26C49">
      <w:pPr>
        <w:rPr>
          <w:rFonts w:ascii="Arial" w:hAnsi="Arial" w:cs="Arial"/>
        </w:rPr>
      </w:pPr>
    </w:p>
    <w:sectPr w:rsidR="00E26C49" w:rsidRPr="00F7617D" w:rsidSect="00277B61">
      <w:pgSz w:w="16838" w:h="11906" w:orient="landscape" w:code="9"/>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49"/>
    <w:rsid w:val="00003AC9"/>
    <w:rsid w:val="00024C49"/>
    <w:rsid w:val="00045342"/>
    <w:rsid w:val="00046344"/>
    <w:rsid w:val="00055F13"/>
    <w:rsid w:val="00070054"/>
    <w:rsid w:val="00084E45"/>
    <w:rsid w:val="000A47E7"/>
    <w:rsid w:val="000B0731"/>
    <w:rsid w:val="000B42A4"/>
    <w:rsid w:val="00105A95"/>
    <w:rsid w:val="00107C59"/>
    <w:rsid w:val="001353F7"/>
    <w:rsid w:val="001525A2"/>
    <w:rsid w:val="00177AB9"/>
    <w:rsid w:val="001803B0"/>
    <w:rsid w:val="001972B3"/>
    <w:rsid w:val="001A3975"/>
    <w:rsid w:val="001A3FAE"/>
    <w:rsid w:val="001A6054"/>
    <w:rsid w:val="001D4896"/>
    <w:rsid w:val="001E1964"/>
    <w:rsid w:val="001F7480"/>
    <w:rsid w:val="001F7A64"/>
    <w:rsid w:val="00206FEC"/>
    <w:rsid w:val="0021054E"/>
    <w:rsid w:val="00213A21"/>
    <w:rsid w:val="002223B6"/>
    <w:rsid w:val="00222EC8"/>
    <w:rsid w:val="00222F23"/>
    <w:rsid w:val="00224F4C"/>
    <w:rsid w:val="00226078"/>
    <w:rsid w:val="00236BF0"/>
    <w:rsid w:val="0025086D"/>
    <w:rsid w:val="002564ED"/>
    <w:rsid w:val="00262213"/>
    <w:rsid w:val="00262DF8"/>
    <w:rsid w:val="00277B61"/>
    <w:rsid w:val="00286C16"/>
    <w:rsid w:val="00292B34"/>
    <w:rsid w:val="002B59C8"/>
    <w:rsid w:val="002C23B6"/>
    <w:rsid w:val="002C31BD"/>
    <w:rsid w:val="002E5DF0"/>
    <w:rsid w:val="002F17FA"/>
    <w:rsid w:val="002F1F7B"/>
    <w:rsid w:val="00304332"/>
    <w:rsid w:val="00304CC6"/>
    <w:rsid w:val="0031047D"/>
    <w:rsid w:val="003139C9"/>
    <w:rsid w:val="003161E2"/>
    <w:rsid w:val="00316564"/>
    <w:rsid w:val="00326ACE"/>
    <w:rsid w:val="00357A97"/>
    <w:rsid w:val="00365E27"/>
    <w:rsid w:val="003749F6"/>
    <w:rsid w:val="00391D1C"/>
    <w:rsid w:val="00394A16"/>
    <w:rsid w:val="003A4F29"/>
    <w:rsid w:val="003B7F55"/>
    <w:rsid w:val="003C585E"/>
    <w:rsid w:val="003C7AB7"/>
    <w:rsid w:val="003D291F"/>
    <w:rsid w:val="003D4002"/>
    <w:rsid w:val="003D4624"/>
    <w:rsid w:val="003E073E"/>
    <w:rsid w:val="004117B6"/>
    <w:rsid w:val="00415AB1"/>
    <w:rsid w:val="00432722"/>
    <w:rsid w:val="00437822"/>
    <w:rsid w:val="00444F3E"/>
    <w:rsid w:val="00450967"/>
    <w:rsid w:val="00465EB8"/>
    <w:rsid w:val="004720B2"/>
    <w:rsid w:val="00480EB4"/>
    <w:rsid w:val="00486FB6"/>
    <w:rsid w:val="00493824"/>
    <w:rsid w:val="004A0F27"/>
    <w:rsid w:val="004B238B"/>
    <w:rsid w:val="004C3662"/>
    <w:rsid w:val="004C49C3"/>
    <w:rsid w:val="004D08AD"/>
    <w:rsid w:val="004D5598"/>
    <w:rsid w:val="004E4083"/>
    <w:rsid w:val="004F0B39"/>
    <w:rsid w:val="004F75F1"/>
    <w:rsid w:val="0050203B"/>
    <w:rsid w:val="00504FDB"/>
    <w:rsid w:val="00580098"/>
    <w:rsid w:val="00585160"/>
    <w:rsid w:val="005A187E"/>
    <w:rsid w:val="005B0E0E"/>
    <w:rsid w:val="005D06CE"/>
    <w:rsid w:val="00603A63"/>
    <w:rsid w:val="00621309"/>
    <w:rsid w:val="00626281"/>
    <w:rsid w:val="00635A93"/>
    <w:rsid w:val="00636B47"/>
    <w:rsid w:val="0065076A"/>
    <w:rsid w:val="00663A1B"/>
    <w:rsid w:val="00667660"/>
    <w:rsid w:val="00681E2A"/>
    <w:rsid w:val="006A0A05"/>
    <w:rsid w:val="006B2EC7"/>
    <w:rsid w:val="006B643E"/>
    <w:rsid w:val="006C50FE"/>
    <w:rsid w:val="006D39C9"/>
    <w:rsid w:val="006D4F1B"/>
    <w:rsid w:val="00705944"/>
    <w:rsid w:val="00707093"/>
    <w:rsid w:val="007213F3"/>
    <w:rsid w:val="0072778B"/>
    <w:rsid w:val="00762DFC"/>
    <w:rsid w:val="007924C5"/>
    <w:rsid w:val="007A1CE9"/>
    <w:rsid w:val="007C0147"/>
    <w:rsid w:val="007C035F"/>
    <w:rsid w:val="007C46CA"/>
    <w:rsid w:val="007C5750"/>
    <w:rsid w:val="007E1FBD"/>
    <w:rsid w:val="00801D9F"/>
    <w:rsid w:val="00803077"/>
    <w:rsid w:val="00810376"/>
    <w:rsid w:val="0081197A"/>
    <w:rsid w:val="008151A4"/>
    <w:rsid w:val="00841195"/>
    <w:rsid w:val="008704C8"/>
    <w:rsid w:val="0087286F"/>
    <w:rsid w:val="00897A21"/>
    <w:rsid w:val="008A68FF"/>
    <w:rsid w:val="008B78B1"/>
    <w:rsid w:val="008C2310"/>
    <w:rsid w:val="008C27B4"/>
    <w:rsid w:val="008C6BF5"/>
    <w:rsid w:val="008D346C"/>
    <w:rsid w:val="008E3433"/>
    <w:rsid w:val="008E423D"/>
    <w:rsid w:val="008F7F16"/>
    <w:rsid w:val="009051D0"/>
    <w:rsid w:val="00910BDB"/>
    <w:rsid w:val="009357C4"/>
    <w:rsid w:val="00955EB5"/>
    <w:rsid w:val="0096398D"/>
    <w:rsid w:val="00973485"/>
    <w:rsid w:val="009940A3"/>
    <w:rsid w:val="009953B2"/>
    <w:rsid w:val="00997C21"/>
    <w:rsid w:val="009B2E0A"/>
    <w:rsid w:val="009C50B3"/>
    <w:rsid w:val="009D3230"/>
    <w:rsid w:val="009D5ACB"/>
    <w:rsid w:val="009F2136"/>
    <w:rsid w:val="009F7CD9"/>
    <w:rsid w:val="00A24E6F"/>
    <w:rsid w:val="00A40BFA"/>
    <w:rsid w:val="00A70BDA"/>
    <w:rsid w:val="00A76C5F"/>
    <w:rsid w:val="00AB5A60"/>
    <w:rsid w:val="00AC6630"/>
    <w:rsid w:val="00AE0B45"/>
    <w:rsid w:val="00B05914"/>
    <w:rsid w:val="00B132E4"/>
    <w:rsid w:val="00B1645B"/>
    <w:rsid w:val="00B23884"/>
    <w:rsid w:val="00B273FC"/>
    <w:rsid w:val="00B300B3"/>
    <w:rsid w:val="00B42B5D"/>
    <w:rsid w:val="00B46C19"/>
    <w:rsid w:val="00B46D6A"/>
    <w:rsid w:val="00B77B99"/>
    <w:rsid w:val="00B93C0D"/>
    <w:rsid w:val="00BC74A0"/>
    <w:rsid w:val="00BD3F12"/>
    <w:rsid w:val="00BD4ACB"/>
    <w:rsid w:val="00BD5BA1"/>
    <w:rsid w:val="00BF156C"/>
    <w:rsid w:val="00BF46F7"/>
    <w:rsid w:val="00C017BD"/>
    <w:rsid w:val="00C04552"/>
    <w:rsid w:val="00C15B94"/>
    <w:rsid w:val="00C22B8B"/>
    <w:rsid w:val="00C312F9"/>
    <w:rsid w:val="00C31807"/>
    <w:rsid w:val="00C417F7"/>
    <w:rsid w:val="00C52C31"/>
    <w:rsid w:val="00C53FF6"/>
    <w:rsid w:val="00C5454F"/>
    <w:rsid w:val="00C61E0B"/>
    <w:rsid w:val="00C74C03"/>
    <w:rsid w:val="00C8268E"/>
    <w:rsid w:val="00CA5031"/>
    <w:rsid w:val="00CB68A0"/>
    <w:rsid w:val="00CD5344"/>
    <w:rsid w:val="00CE5B99"/>
    <w:rsid w:val="00CF3FED"/>
    <w:rsid w:val="00CF6785"/>
    <w:rsid w:val="00D100AA"/>
    <w:rsid w:val="00D1299D"/>
    <w:rsid w:val="00D140D9"/>
    <w:rsid w:val="00D356B7"/>
    <w:rsid w:val="00D43125"/>
    <w:rsid w:val="00D44D20"/>
    <w:rsid w:val="00D560DA"/>
    <w:rsid w:val="00D67FD8"/>
    <w:rsid w:val="00D91F27"/>
    <w:rsid w:val="00D94B7C"/>
    <w:rsid w:val="00DA1320"/>
    <w:rsid w:val="00DA2122"/>
    <w:rsid w:val="00DA2B45"/>
    <w:rsid w:val="00DA2DE6"/>
    <w:rsid w:val="00DA5A25"/>
    <w:rsid w:val="00DF21CA"/>
    <w:rsid w:val="00E01F9D"/>
    <w:rsid w:val="00E052E9"/>
    <w:rsid w:val="00E14225"/>
    <w:rsid w:val="00E20E4E"/>
    <w:rsid w:val="00E26C49"/>
    <w:rsid w:val="00E330B1"/>
    <w:rsid w:val="00E33B52"/>
    <w:rsid w:val="00E34C9E"/>
    <w:rsid w:val="00E6352E"/>
    <w:rsid w:val="00E7285F"/>
    <w:rsid w:val="00E75BB6"/>
    <w:rsid w:val="00EA6EA0"/>
    <w:rsid w:val="00EB404C"/>
    <w:rsid w:val="00ED6CD7"/>
    <w:rsid w:val="00F21514"/>
    <w:rsid w:val="00F33E61"/>
    <w:rsid w:val="00F64A26"/>
    <w:rsid w:val="00F67810"/>
    <w:rsid w:val="00F7617D"/>
    <w:rsid w:val="00F83617"/>
    <w:rsid w:val="00F9709A"/>
    <w:rsid w:val="00FA0044"/>
    <w:rsid w:val="00FA319A"/>
    <w:rsid w:val="00FC1714"/>
    <w:rsid w:val="00FD4707"/>
    <w:rsid w:val="00FF6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2EC8"/>
    <w:rPr>
      <w:rFonts w:ascii="Tahoma" w:hAnsi="Tahoma" w:cs="Tahoma"/>
      <w:sz w:val="16"/>
      <w:szCs w:val="16"/>
    </w:rPr>
  </w:style>
  <w:style w:type="character" w:customStyle="1" w:styleId="BalloonTextChar">
    <w:name w:val="Balloon Text Char"/>
    <w:link w:val="BalloonText"/>
    <w:rsid w:val="00222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C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22EC8"/>
    <w:rPr>
      <w:rFonts w:ascii="Tahoma" w:hAnsi="Tahoma" w:cs="Tahoma"/>
      <w:sz w:val="16"/>
      <w:szCs w:val="16"/>
    </w:rPr>
  </w:style>
  <w:style w:type="character" w:customStyle="1" w:styleId="BalloonTextChar">
    <w:name w:val="Balloon Text Char"/>
    <w:link w:val="BalloonText"/>
    <w:rsid w:val="00222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1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51ABE441</Template>
  <TotalTime>1</TotalTime>
  <Pages>2</Pages>
  <Words>732</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Service Plan Risk Register</vt:lpstr>
    </vt:vector>
  </TitlesOfParts>
  <Company>KPMG</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Plan Risk Register</dc:title>
  <dc:creator>KPMG</dc:creator>
  <cp:lastModifiedBy>jthompson</cp:lastModifiedBy>
  <cp:revision>3</cp:revision>
  <cp:lastPrinted>2018-02-06T09:00:00Z</cp:lastPrinted>
  <dcterms:created xsi:type="dcterms:W3CDTF">2020-02-03T15:36:00Z</dcterms:created>
  <dcterms:modified xsi:type="dcterms:W3CDTF">2020-02-03T15:37:00Z</dcterms:modified>
</cp:coreProperties>
</file>